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608A6" w14:textId="77777777" w:rsidR="006124E9" w:rsidRPr="00925455" w:rsidRDefault="006124E9" w:rsidP="00F20226">
      <w:pPr>
        <w:spacing w:after="600"/>
        <w:rPr>
          <w:rFonts w:ascii="Arial" w:eastAsia="Arial" w:hAnsi="Arial" w:cs="Arial"/>
          <w:b/>
          <w:smallCaps/>
          <w:sz w:val="36"/>
          <w:szCs w:val="36"/>
        </w:rPr>
      </w:pPr>
      <w:r w:rsidRPr="00B23933">
        <w:rPr>
          <w:noProof/>
        </w:rPr>
        <w:drawing>
          <wp:inline distT="0" distB="0" distL="0" distR="0" wp14:anchorId="7832F295" wp14:editId="55914599">
            <wp:extent cx="5731510" cy="4036695"/>
            <wp:effectExtent l="0" t="0" r="2540" b="1905"/>
            <wp:docPr id="156033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6723" name=""/>
                    <pic:cNvPicPr/>
                  </pic:nvPicPr>
                  <pic:blipFill>
                    <a:blip r:embed="rId10"/>
                    <a:stretch>
                      <a:fillRect/>
                    </a:stretch>
                  </pic:blipFill>
                  <pic:spPr>
                    <a:xfrm>
                      <a:off x="0" y="0"/>
                      <a:ext cx="5731510" cy="4036695"/>
                    </a:xfrm>
                    <a:prstGeom prst="rect">
                      <a:avLst/>
                    </a:prstGeom>
                  </pic:spPr>
                </pic:pic>
              </a:graphicData>
            </a:graphic>
          </wp:inline>
        </w:drawing>
      </w:r>
    </w:p>
    <w:p w14:paraId="082678B6" w14:textId="2108E3EE" w:rsidR="006124E9" w:rsidRDefault="006124E9" w:rsidP="006124E9">
      <w:pPr>
        <w:pBdr>
          <w:bottom w:val="single" w:sz="6" w:space="1" w:color="4F6228"/>
        </w:pBdr>
        <w:spacing w:after="240"/>
        <w:ind w:left="567" w:right="567"/>
        <w:jc w:val="center"/>
        <w:rPr>
          <w:b/>
          <w:color w:val="869D69"/>
          <w:sz w:val="72"/>
          <w:szCs w:val="72"/>
        </w:rPr>
      </w:pPr>
      <w:r>
        <w:rPr>
          <w:b/>
          <w:color w:val="869D69"/>
          <w:sz w:val="72"/>
          <w:szCs w:val="72"/>
        </w:rPr>
        <w:t>Booklet Four</w:t>
      </w:r>
    </w:p>
    <w:p w14:paraId="4400B100" w14:textId="72217DF4" w:rsidR="003B51F4" w:rsidRPr="003B51F4" w:rsidRDefault="003B51F4" w:rsidP="003B51F4">
      <w:pPr>
        <w:pBdr>
          <w:bottom w:val="single" w:sz="6" w:space="1" w:color="4F6228"/>
        </w:pBdr>
        <w:spacing w:after="240"/>
        <w:ind w:left="567" w:right="567"/>
        <w:jc w:val="center"/>
        <w:rPr>
          <w:b/>
          <w:color w:val="869D69"/>
          <w:sz w:val="36"/>
          <w:szCs w:val="36"/>
        </w:rPr>
      </w:pPr>
      <w:r w:rsidRPr="003B51F4">
        <w:rPr>
          <w:b/>
          <w:color w:val="869D69"/>
          <w:sz w:val="36"/>
          <w:szCs w:val="36"/>
        </w:rPr>
        <w:t>of the</w:t>
      </w:r>
    </w:p>
    <w:p w14:paraId="665D5F6E" w14:textId="69932304" w:rsidR="003B51F4" w:rsidRDefault="003B51F4" w:rsidP="003B51F4">
      <w:pPr>
        <w:pBdr>
          <w:bottom w:val="single" w:sz="6" w:space="1" w:color="4F6228"/>
        </w:pBdr>
        <w:spacing w:after="240"/>
        <w:ind w:left="567" w:right="567"/>
        <w:jc w:val="center"/>
        <w:rPr>
          <w:b/>
          <w:color w:val="869D69"/>
          <w:sz w:val="72"/>
          <w:szCs w:val="72"/>
        </w:rPr>
      </w:pPr>
      <w:r w:rsidRPr="003B51F4">
        <w:rPr>
          <w:b/>
          <w:color w:val="869D69"/>
          <w:sz w:val="72"/>
          <w:szCs w:val="72"/>
        </w:rPr>
        <w:t>Spreadmark Code of Practice</w:t>
      </w:r>
    </w:p>
    <w:p w14:paraId="46F19EA2" w14:textId="731300B9" w:rsidR="006124E9" w:rsidRPr="003B51F4" w:rsidRDefault="001B7B50" w:rsidP="006124E9">
      <w:pPr>
        <w:pBdr>
          <w:bottom w:val="single" w:sz="6" w:space="1" w:color="4F6228"/>
        </w:pBdr>
        <w:spacing w:after="240"/>
        <w:ind w:left="567" w:right="567"/>
        <w:jc w:val="center"/>
        <w:rPr>
          <w:b/>
          <w:sz w:val="56"/>
          <w:szCs w:val="56"/>
        </w:rPr>
      </w:pPr>
      <w:r w:rsidRPr="003B51F4">
        <w:rPr>
          <w:b/>
          <w:sz w:val="56"/>
          <w:szCs w:val="56"/>
        </w:rPr>
        <w:t>Spread Pattern Testing</w:t>
      </w:r>
      <w:r w:rsidR="004C33B8" w:rsidRPr="003B51F4">
        <w:rPr>
          <w:b/>
          <w:sz w:val="56"/>
          <w:szCs w:val="56"/>
        </w:rPr>
        <w:t xml:space="preserve"> and Certification for </w:t>
      </w:r>
      <w:r w:rsidR="005359BB">
        <w:rPr>
          <w:b/>
          <w:sz w:val="56"/>
          <w:szCs w:val="56"/>
        </w:rPr>
        <w:t xml:space="preserve">Fixed Wing </w:t>
      </w:r>
      <w:r w:rsidR="004C33B8" w:rsidRPr="003B51F4">
        <w:rPr>
          <w:b/>
          <w:sz w:val="56"/>
          <w:szCs w:val="56"/>
        </w:rPr>
        <w:t>Aerial Application</w:t>
      </w:r>
      <w:r w:rsidR="00DA2516" w:rsidRPr="003B51F4">
        <w:rPr>
          <w:b/>
          <w:sz w:val="56"/>
          <w:szCs w:val="56"/>
        </w:rPr>
        <w:t xml:space="preserve"> of </w:t>
      </w:r>
      <w:r w:rsidR="004001BF">
        <w:rPr>
          <w:b/>
          <w:sz w:val="56"/>
          <w:szCs w:val="56"/>
        </w:rPr>
        <w:t xml:space="preserve">Solid </w:t>
      </w:r>
      <w:r w:rsidR="00DA2516" w:rsidRPr="003B51F4">
        <w:rPr>
          <w:b/>
          <w:sz w:val="56"/>
          <w:szCs w:val="56"/>
        </w:rPr>
        <w:t>Nutrients</w:t>
      </w:r>
    </w:p>
    <w:p w14:paraId="031FB6FB" w14:textId="25FF8908" w:rsidR="00216B07" w:rsidRPr="00403D61" w:rsidRDefault="00216B07" w:rsidP="00216B07">
      <w:pPr>
        <w:spacing w:before="120" w:after="120"/>
        <w:jc w:val="center"/>
        <w:rPr>
          <w:rFonts w:asciiTheme="minorHAnsi" w:eastAsia="Arial" w:hAnsiTheme="minorHAnsi" w:cstheme="minorHAnsi"/>
          <w:b/>
          <w:sz w:val="24"/>
          <w:szCs w:val="24"/>
        </w:rPr>
      </w:pPr>
      <w:r w:rsidRPr="00403D61">
        <w:rPr>
          <w:rFonts w:asciiTheme="minorHAnsi" w:eastAsia="Arial" w:hAnsiTheme="minorHAnsi" w:cstheme="minorHAnsi"/>
          <w:b/>
          <w:sz w:val="24"/>
          <w:szCs w:val="24"/>
        </w:rPr>
        <w:lastRenderedPageBreak/>
        <w:t>SPREAD PATTER</w:t>
      </w:r>
      <w:r w:rsidR="008C6DB6">
        <w:rPr>
          <w:rFonts w:asciiTheme="minorHAnsi" w:eastAsia="Arial" w:hAnsiTheme="minorHAnsi" w:cstheme="minorHAnsi"/>
          <w:b/>
          <w:sz w:val="24"/>
          <w:szCs w:val="24"/>
        </w:rPr>
        <w:t>N</w:t>
      </w:r>
      <w:r w:rsidRPr="00403D61">
        <w:rPr>
          <w:rFonts w:asciiTheme="minorHAnsi" w:eastAsia="Arial" w:hAnsiTheme="minorHAnsi" w:cstheme="minorHAnsi"/>
          <w:b/>
          <w:sz w:val="24"/>
          <w:szCs w:val="24"/>
        </w:rPr>
        <w:t xml:space="preserve"> TESTING AND CERTIFICATION FOR </w:t>
      </w:r>
      <w:r w:rsidR="005D6A25">
        <w:rPr>
          <w:rFonts w:asciiTheme="minorHAnsi" w:eastAsia="Arial" w:hAnsiTheme="minorHAnsi" w:cstheme="minorHAnsi"/>
          <w:b/>
          <w:sz w:val="24"/>
          <w:szCs w:val="24"/>
        </w:rPr>
        <w:t xml:space="preserve">FIXED WING </w:t>
      </w:r>
      <w:r w:rsidRPr="00403D61">
        <w:rPr>
          <w:rFonts w:asciiTheme="minorHAnsi" w:eastAsia="Arial" w:hAnsiTheme="minorHAnsi" w:cstheme="minorHAnsi"/>
          <w:b/>
          <w:sz w:val="24"/>
          <w:szCs w:val="24"/>
        </w:rPr>
        <w:t xml:space="preserve">AERIAL APPLICATION OF </w:t>
      </w:r>
      <w:r w:rsidR="004001BF">
        <w:rPr>
          <w:rFonts w:asciiTheme="minorHAnsi" w:eastAsia="Arial" w:hAnsiTheme="minorHAnsi" w:cstheme="minorHAnsi"/>
          <w:b/>
          <w:sz w:val="24"/>
          <w:szCs w:val="24"/>
        </w:rPr>
        <w:t xml:space="preserve">SOLID </w:t>
      </w:r>
      <w:r w:rsidRPr="00403D61">
        <w:rPr>
          <w:rFonts w:asciiTheme="minorHAnsi" w:eastAsia="Arial" w:hAnsiTheme="minorHAnsi" w:cstheme="minorHAnsi"/>
          <w:b/>
          <w:sz w:val="24"/>
          <w:szCs w:val="24"/>
        </w:rPr>
        <w:t>NUTRIENTS</w:t>
      </w:r>
    </w:p>
    <w:p w14:paraId="1B7E0C0B" w14:textId="77777777" w:rsidR="005A2A07" w:rsidRPr="005A2A07" w:rsidRDefault="005A2A07" w:rsidP="005A2A07">
      <w:pPr>
        <w:rPr>
          <w:b/>
          <w:sz w:val="24"/>
          <w:szCs w:val="24"/>
        </w:rPr>
      </w:pPr>
      <w:r w:rsidRPr="005A2A07">
        <w:rPr>
          <w:b/>
          <w:sz w:val="24"/>
          <w:szCs w:val="24"/>
        </w:rPr>
        <w:t>INTRODUCTION</w:t>
      </w:r>
    </w:p>
    <w:p w14:paraId="4DA0C62E" w14:textId="77777777" w:rsidR="005A2A07" w:rsidRPr="005A2A07" w:rsidRDefault="005A2A07" w:rsidP="005A2A07">
      <w:pPr>
        <w:jc w:val="both"/>
        <w:rPr>
          <w:rFonts w:asciiTheme="minorHAnsi" w:hAnsiTheme="minorHAnsi" w:cstheme="minorHAnsi"/>
          <w:bCs/>
        </w:rPr>
      </w:pPr>
      <w:r w:rsidRPr="005A2A07">
        <w:rPr>
          <w:rFonts w:asciiTheme="minorHAnsi" w:hAnsiTheme="minorHAnsi" w:cstheme="minorHAnsi"/>
          <w:bCs/>
        </w:rPr>
        <w:t xml:space="preserve">This booklet is one of four booklets containing information that supports the Spreadmark Code of Practice for the Application of Nutrients in New Zealand </w:t>
      </w:r>
    </w:p>
    <w:p w14:paraId="2BDFB7CA" w14:textId="77777777" w:rsidR="005A2A07" w:rsidRPr="005A2A07" w:rsidRDefault="005A2A07" w:rsidP="005A2A07">
      <w:pPr>
        <w:jc w:val="both"/>
        <w:rPr>
          <w:rFonts w:asciiTheme="minorHAnsi" w:hAnsiTheme="minorHAnsi" w:cstheme="minorHAnsi"/>
          <w:bCs/>
        </w:rPr>
      </w:pPr>
      <w:r w:rsidRPr="005A2A07">
        <w:rPr>
          <w:rFonts w:asciiTheme="minorHAnsi" w:hAnsiTheme="minorHAnsi" w:cstheme="minorHAnsi"/>
          <w:bCs/>
        </w:rPr>
        <w:t xml:space="preserve">The Spreadmark Code of Practice can be found here </w:t>
      </w:r>
      <w:hyperlink r:id="rId11" w:history="1">
        <w:r w:rsidRPr="005A2A07">
          <w:rPr>
            <w:rFonts w:asciiTheme="minorHAnsi" w:hAnsiTheme="minorHAnsi" w:cstheme="minorHAnsi"/>
            <w:bCs/>
            <w:color w:val="0563C1" w:themeColor="hyperlink"/>
            <w:u w:val="single"/>
          </w:rPr>
          <w:t>https://fertqual.co.nz/resources/</w:t>
        </w:r>
      </w:hyperlink>
      <w:r w:rsidRPr="005A2A07">
        <w:rPr>
          <w:rFonts w:asciiTheme="minorHAnsi" w:hAnsiTheme="minorHAnsi" w:cstheme="minorHAnsi"/>
          <w:bCs/>
        </w:rPr>
        <w:t xml:space="preserve"> </w:t>
      </w:r>
    </w:p>
    <w:p w14:paraId="409A9B7F" w14:textId="77777777" w:rsidR="005A2A07" w:rsidRPr="005A2A07" w:rsidRDefault="005A2A07" w:rsidP="005A2A07">
      <w:pPr>
        <w:jc w:val="both"/>
        <w:rPr>
          <w:rFonts w:asciiTheme="minorHAnsi" w:hAnsiTheme="minorHAnsi" w:cstheme="minorHAnsi"/>
          <w:bCs/>
        </w:rPr>
      </w:pPr>
      <w:bookmarkStart w:id="0" w:name="_Hlk165954053"/>
      <w:r w:rsidRPr="005A2A07">
        <w:rPr>
          <w:rFonts w:asciiTheme="minorHAnsi" w:hAnsiTheme="minorHAnsi" w:cstheme="minorHAnsi"/>
          <w:bCs/>
        </w:rPr>
        <w:t>This booklet forms part of the Code and all information related to copyright, document control, acknowledgements and glossary contained in the main Code apply equally to the information in this booklet.</w:t>
      </w:r>
    </w:p>
    <w:bookmarkEnd w:id="0"/>
    <w:p w14:paraId="064C2C2F" w14:textId="77777777" w:rsidR="005A2A07" w:rsidRPr="005A2A07" w:rsidRDefault="005A2A07" w:rsidP="005A2A07">
      <w:pPr>
        <w:jc w:val="both"/>
        <w:rPr>
          <w:rFonts w:asciiTheme="minorHAnsi" w:hAnsiTheme="minorHAnsi" w:cstheme="minorHAnsi"/>
          <w:bCs/>
        </w:rPr>
      </w:pPr>
      <w:r w:rsidRPr="005A2A07">
        <w:rPr>
          <w:rFonts w:asciiTheme="minorHAnsi" w:hAnsiTheme="minorHAnsi" w:cstheme="minorHAnsi"/>
          <w:bCs/>
        </w:rPr>
        <w:t>Other booklets containing support information for the Spreadmark Code of Practice are:</w:t>
      </w:r>
    </w:p>
    <w:p w14:paraId="3347C0C5" w14:textId="77777777" w:rsidR="005A2A07" w:rsidRPr="005A2A07" w:rsidRDefault="005A2A07" w:rsidP="005A2A07">
      <w:pPr>
        <w:spacing w:before="120" w:after="120" w:line="240" w:lineRule="auto"/>
        <w:contextualSpacing/>
        <w:rPr>
          <w:bCs/>
        </w:rPr>
      </w:pPr>
      <w:r w:rsidRPr="005A2A07">
        <w:rPr>
          <w:rFonts w:cstheme="minorHAnsi"/>
          <w:bCs/>
        </w:rPr>
        <w:t>Booklet 1:</w:t>
      </w:r>
      <w:r w:rsidRPr="005A2A07">
        <w:rPr>
          <w:rFonts w:cstheme="minorHAnsi"/>
          <w:bCs/>
        </w:rPr>
        <w:tab/>
      </w:r>
      <w:r w:rsidRPr="005A2A07">
        <w:rPr>
          <w:bCs/>
        </w:rPr>
        <w:t>Spreadmark Procedures, Protocols, Policies and Codes.</w:t>
      </w:r>
    </w:p>
    <w:p w14:paraId="62BB1A29" w14:textId="7835DDB0" w:rsidR="005A2A07" w:rsidRPr="005A2A07" w:rsidRDefault="005A2A07" w:rsidP="005A2A07">
      <w:pPr>
        <w:spacing w:before="120" w:after="120" w:line="240" w:lineRule="auto"/>
        <w:ind w:left="1440" w:hanging="1440"/>
        <w:contextualSpacing/>
        <w:rPr>
          <w:rFonts w:asciiTheme="minorHAnsi" w:hAnsiTheme="minorHAnsi" w:cstheme="minorHAnsi"/>
          <w:bCs/>
        </w:rPr>
      </w:pPr>
      <w:r w:rsidRPr="005A2A07">
        <w:rPr>
          <w:rFonts w:asciiTheme="minorHAnsi" w:hAnsiTheme="minorHAnsi" w:cstheme="minorHAnsi"/>
          <w:bCs/>
        </w:rPr>
        <w:t xml:space="preserve">Booklet 2: </w:t>
      </w:r>
      <w:r w:rsidRPr="005A2A07">
        <w:rPr>
          <w:rFonts w:asciiTheme="minorHAnsi" w:hAnsiTheme="minorHAnsi" w:cstheme="minorHAnsi"/>
          <w:bCs/>
        </w:rPr>
        <w:tab/>
        <w:t>Technical Specification</w:t>
      </w:r>
      <w:r w:rsidR="000B0C24">
        <w:rPr>
          <w:rFonts w:asciiTheme="minorHAnsi" w:hAnsiTheme="minorHAnsi" w:cstheme="minorHAnsi"/>
          <w:bCs/>
        </w:rPr>
        <w:t>s</w:t>
      </w:r>
      <w:r w:rsidRPr="005A2A07">
        <w:rPr>
          <w:rFonts w:asciiTheme="minorHAnsi" w:hAnsiTheme="minorHAnsi" w:cstheme="minorHAnsi"/>
          <w:bCs/>
        </w:rPr>
        <w:t xml:space="preserve"> for the Testing and Certification of Solid </w:t>
      </w:r>
      <w:r w:rsidR="001822EC">
        <w:rPr>
          <w:rFonts w:asciiTheme="minorHAnsi" w:hAnsiTheme="minorHAnsi" w:cstheme="minorHAnsi"/>
          <w:bCs/>
        </w:rPr>
        <w:t>Nutrient</w:t>
      </w:r>
      <w:r w:rsidRPr="005A2A07">
        <w:rPr>
          <w:rFonts w:asciiTheme="minorHAnsi" w:hAnsiTheme="minorHAnsi" w:cstheme="minorHAnsi"/>
          <w:bCs/>
        </w:rPr>
        <w:t xml:space="preserve"> </w:t>
      </w:r>
      <w:r w:rsidR="00BA1688">
        <w:rPr>
          <w:rFonts w:asciiTheme="minorHAnsi" w:hAnsiTheme="minorHAnsi" w:cstheme="minorHAnsi"/>
          <w:bCs/>
        </w:rPr>
        <w:t xml:space="preserve">Spreading </w:t>
      </w:r>
      <w:r w:rsidRPr="005A2A07">
        <w:rPr>
          <w:rFonts w:asciiTheme="minorHAnsi" w:hAnsiTheme="minorHAnsi" w:cstheme="minorHAnsi"/>
          <w:bCs/>
        </w:rPr>
        <w:t>Units.</w:t>
      </w:r>
    </w:p>
    <w:p w14:paraId="3EE77382" w14:textId="4586A445" w:rsidR="005A2A07" w:rsidRPr="005A2A07" w:rsidRDefault="005A2A07" w:rsidP="005A2A07">
      <w:pPr>
        <w:spacing w:before="120" w:after="120" w:line="240" w:lineRule="auto"/>
        <w:ind w:left="1440" w:hanging="1440"/>
        <w:contextualSpacing/>
        <w:rPr>
          <w:rFonts w:asciiTheme="minorHAnsi" w:hAnsiTheme="minorHAnsi" w:cstheme="minorHAnsi"/>
          <w:bCs/>
        </w:rPr>
      </w:pPr>
      <w:r w:rsidRPr="005A2A07">
        <w:rPr>
          <w:rFonts w:asciiTheme="minorHAnsi" w:hAnsiTheme="minorHAnsi" w:cstheme="minorHAnsi"/>
          <w:bCs/>
        </w:rPr>
        <w:t>Booklet 3:</w:t>
      </w:r>
      <w:r w:rsidRPr="005A2A07">
        <w:rPr>
          <w:rFonts w:asciiTheme="minorHAnsi" w:hAnsiTheme="minorHAnsi" w:cstheme="minorHAnsi"/>
          <w:bCs/>
        </w:rPr>
        <w:tab/>
        <w:t>Technical Specification</w:t>
      </w:r>
      <w:r w:rsidR="000B0C24">
        <w:rPr>
          <w:rFonts w:asciiTheme="minorHAnsi" w:hAnsiTheme="minorHAnsi" w:cstheme="minorHAnsi"/>
          <w:bCs/>
        </w:rPr>
        <w:t>s</w:t>
      </w:r>
      <w:r w:rsidRPr="005A2A07">
        <w:rPr>
          <w:rFonts w:asciiTheme="minorHAnsi" w:hAnsiTheme="minorHAnsi" w:cstheme="minorHAnsi"/>
          <w:bCs/>
        </w:rPr>
        <w:t xml:space="preserve"> for the Testing and Certification of Conventional Boom Sprayers Applying Liquid Nutrient.</w:t>
      </w:r>
    </w:p>
    <w:p w14:paraId="2FCC5613" w14:textId="77777777" w:rsidR="0038612D" w:rsidRDefault="0038612D" w:rsidP="0038612D">
      <w:pPr>
        <w:spacing w:after="120" w:line="240" w:lineRule="auto"/>
        <w:jc w:val="both"/>
        <w:rPr>
          <w:rFonts w:asciiTheme="minorHAnsi" w:hAnsiTheme="minorHAnsi" w:cstheme="minorHAnsi"/>
          <w:bCs/>
        </w:rPr>
      </w:pPr>
    </w:p>
    <w:p w14:paraId="144840E2" w14:textId="4569127A" w:rsidR="005522C7" w:rsidRPr="00AA62A7" w:rsidRDefault="00E32B0E" w:rsidP="00AA62A7">
      <w:pPr>
        <w:jc w:val="both"/>
        <w:rPr>
          <w:rFonts w:asciiTheme="minorHAnsi" w:hAnsiTheme="minorHAnsi" w:cstheme="minorHAnsi"/>
          <w:bCs/>
        </w:rPr>
      </w:pPr>
      <w:r>
        <w:rPr>
          <w:rFonts w:asciiTheme="minorHAnsi" w:eastAsia="Arial" w:hAnsiTheme="minorHAnsi" w:cstheme="minorHAnsi"/>
        </w:rPr>
        <w:t xml:space="preserve">These booklets are supported by </w:t>
      </w:r>
      <w:r w:rsidR="00962501">
        <w:rPr>
          <w:rFonts w:asciiTheme="minorHAnsi" w:eastAsia="Arial" w:hAnsiTheme="minorHAnsi" w:cstheme="minorHAnsi"/>
        </w:rPr>
        <w:t>two</w:t>
      </w:r>
      <w:r>
        <w:rPr>
          <w:rFonts w:asciiTheme="minorHAnsi" w:eastAsia="Arial" w:hAnsiTheme="minorHAnsi" w:cstheme="minorHAnsi"/>
        </w:rPr>
        <w:t xml:space="preserve"> </w:t>
      </w:r>
      <w:r w:rsidR="000617C1">
        <w:rPr>
          <w:rFonts w:asciiTheme="minorHAnsi" w:eastAsia="Arial" w:hAnsiTheme="minorHAnsi" w:cstheme="minorHAnsi"/>
        </w:rPr>
        <w:t xml:space="preserve">technical documents </w:t>
      </w:r>
      <w:r w:rsidR="00E31700">
        <w:rPr>
          <w:rFonts w:asciiTheme="minorHAnsi" w:eastAsia="Arial" w:hAnsiTheme="minorHAnsi" w:cstheme="minorHAnsi"/>
        </w:rPr>
        <w:t>listed</w:t>
      </w:r>
      <w:r w:rsidR="008B5860">
        <w:rPr>
          <w:rFonts w:asciiTheme="minorHAnsi" w:eastAsia="Arial" w:hAnsiTheme="minorHAnsi" w:cstheme="minorHAnsi"/>
        </w:rPr>
        <w:t xml:space="preserve"> below</w:t>
      </w:r>
      <w:r w:rsidR="00E31700">
        <w:rPr>
          <w:rFonts w:asciiTheme="minorHAnsi" w:eastAsia="Arial" w:hAnsiTheme="minorHAnsi" w:cstheme="minorHAnsi"/>
        </w:rPr>
        <w:t xml:space="preserve"> and</w:t>
      </w:r>
      <w:r w:rsidR="00357904">
        <w:rPr>
          <w:rFonts w:asciiTheme="minorHAnsi" w:eastAsia="Arial" w:hAnsiTheme="minorHAnsi" w:cstheme="minorHAnsi"/>
        </w:rPr>
        <w:t xml:space="preserve"> </w:t>
      </w:r>
      <w:r w:rsidR="000617C1">
        <w:rPr>
          <w:rFonts w:asciiTheme="minorHAnsi" w:eastAsia="Arial" w:hAnsiTheme="minorHAnsi" w:cstheme="minorHAnsi"/>
        </w:rPr>
        <w:t>found here:</w:t>
      </w:r>
      <w:r w:rsidR="00EB3878">
        <w:rPr>
          <w:rFonts w:asciiTheme="minorHAnsi" w:eastAsia="Arial" w:hAnsiTheme="minorHAnsi" w:cstheme="minorHAnsi"/>
        </w:rPr>
        <w:t xml:space="preserve"> </w:t>
      </w:r>
      <w:r w:rsidR="00AA62A7">
        <w:rPr>
          <w:rFonts w:asciiTheme="minorHAnsi" w:eastAsia="Arial" w:hAnsiTheme="minorHAnsi" w:cstheme="minorHAnsi"/>
        </w:rPr>
        <w:t xml:space="preserve"> </w:t>
      </w:r>
      <w:hyperlink r:id="rId12" w:history="1">
        <w:r w:rsidR="00AA62A7" w:rsidRPr="0053429E">
          <w:rPr>
            <w:rStyle w:val="Hyperlink"/>
            <w:rFonts w:asciiTheme="minorHAnsi" w:eastAsia="Arial" w:hAnsiTheme="minorHAnsi" w:cstheme="minorHAnsi"/>
          </w:rPr>
          <w:t>https://fertqual.co.nz/spreadmark/</w:t>
        </w:r>
      </w:hyperlink>
      <w:r w:rsidR="00EB3878">
        <w:rPr>
          <w:rFonts w:asciiTheme="minorHAnsi" w:eastAsia="Arial" w:hAnsiTheme="minorHAnsi" w:cstheme="minorHAnsi"/>
        </w:rPr>
        <w:t xml:space="preserve"> </w:t>
      </w:r>
    </w:p>
    <w:p w14:paraId="63157452" w14:textId="5B137E3B" w:rsidR="00070B5B" w:rsidRPr="006837CC" w:rsidRDefault="004E0DB8" w:rsidP="006837CC">
      <w:pPr>
        <w:pStyle w:val="ListParagraph"/>
        <w:numPr>
          <w:ilvl w:val="0"/>
          <w:numId w:val="17"/>
        </w:numPr>
        <w:spacing w:after="0" w:line="240" w:lineRule="auto"/>
        <w:rPr>
          <w:rFonts w:asciiTheme="minorHAnsi" w:eastAsia="Arial" w:hAnsiTheme="minorHAnsi" w:cstheme="minorHAnsi"/>
        </w:rPr>
      </w:pPr>
      <w:r w:rsidRPr="006837CC">
        <w:rPr>
          <w:rFonts w:asciiTheme="minorHAnsi" w:eastAsia="Arial" w:hAnsiTheme="minorHAnsi" w:cstheme="minorHAnsi"/>
        </w:rPr>
        <w:t>Nutrient Application Specifications</w:t>
      </w:r>
      <w:r w:rsidR="00070B5B" w:rsidRPr="006837CC">
        <w:rPr>
          <w:rFonts w:asciiTheme="minorHAnsi" w:eastAsia="Arial" w:hAnsiTheme="minorHAnsi" w:cstheme="minorHAnsi"/>
        </w:rPr>
        <w:t>;</w:t>
      </w:r>
      <w:r w:rsidRPr="006837CC">
        <w:rPr>
          <w:rFonts w:asciiTheme="minorHAnsi" w:eastAsia="Arial" w:hAnsiTheme="minorHAnsi" w:cstheme="minorHAnsi"/>
        </w:rPr>
        <w:t xml:space="preserve"> </w:t>
      </w:r>
      <w:r w:rsidR="002F15CD">
        <w:rPr>
          <w:rFonts w:asciiTheme="minorHAnsi" w:eastAsia="Arial" w:hAnsiTheme="minorHAnsi" w:cstheme="minorHAnsi"/>
        </w:rPr>
        <w:t>and</w:t>
      </w:r>
    </w:p>
    <w:p w14:paraId="412B2685" w14:textId="6AF6B73F" w:rsidR="00070B5B" w:rsidRPr="006837CC" w:rsidRDefault="004E0DB8" w:rsidP="006837CC">
      <w:pPr>
        <w:pStyle w:val="ListParagraph"/>
        <w:numPr>
          <w:ilvl w:val="0"/>
          <w:numId w:val="17"/>
        </w:numPr>
        <w:spacing w:after="0" w:line="240" w:lineRule="auto"/>
        <w:rPr>
          <w:rFonts w:asciiTheme="minorHAnsi" w:eastAsia="Arial" w:hAnsiTheme="minorHAnsi" w:cstheme="minorHAnsi"/>
        </w:rPr>
      </w:pPr>
      <w:r w:rsidRPr="006837CC">
        <w:rPr>
          <w:rFonts w:asciiTheme="minorHAnsi" w:eastAsia="Arial" w:hAnsiTheme="minorHAnsi" w:cstheme="minorHAnsi"/>
        </w:rPr>
        <w:t xml:space="preserve">Nutrient Physical Properties - General Information </w:t>
      </w:r>
    </w:p>
    <w:p w14:paraId="41792EC7" w14:textId="77777777" w:rsidR="004723DA" w:rsidRPr="004723DA" w:rsidRDefault="004723DA" w:rsidP="004723DA">
      <w:pPr>
        <w:spacing w:after="0" w:line="240" w:lineRule="auto"/>
        <w:rPr>
          <w:rFonts w:asciiTheme="minorHAnsi" w:eastAsia="Arial" w:hAnsiTheme="minorHAnsi" w:cstheme="minorHAnsi"/>
        </w:rPr>
      </w:pPr>
    </w:p>
    <w:p w14:paraId="59893523" w14:textId="19483074" w:rsidR="0092096F" w:rsidRPr="00AA30F4" w:rsidRDefault="00F90AD2" w:rsidP="00ED0FCD">
      <w:pPr>
        <w:jc w:val="both"/>
        <w:rPr>
          <w:rFonts w:asciiTheme="minorHAnsi" w:hAnsiTheme="minorHAnsi" w:cstheme="minorHAnsi"/>
          <w:b/>
          <w:bCs/>
        </w:rPr>
      </w:pPr>
      <w:r w:rsidRPr="00AA30F4">
        <w:rPr>
          <w:rFonts w:asciiTheme="minorHAnsi" w:eastAsia="Arial" w:hAnsiTheme="minorHAnsi" w:cstheme="minorHAnsi"/>
          <w:b/>
          <w:bCs/>
        </w:rPr>
        <w:t xml:space="preserve">Note this booklet deals only with solid </w:t>
      </w:r>
      <w:r w:rsidR="00864871" w:rsidRPr="00AA30F4">
        <w:rPr>
          <w:rFonts w:asciiTheme="minorHAnsi" w:eastAsia="Arial" w:hAnsiTheme="minorHAnsi" w:cstheme="minorHAnsi"/>
          <w:b/>
          <w:bCs/>
        </w:rPr>
        <w:t>nutrient spread by fixed wing aircraft. For</w:t>
      </w:r>
      <w:r w:rsidR="00B708CB" w:rsidRPr="00AA30F4">
        <w:rPr>
          <w:rFonts w:asciiTheme="minorHAnsi" w:eastAsia="Arial" w:hAnsiTheme="minorHAnsi" w:cstheme="minorHAnsi"/>
          <w:b/>
          <w:bCs/>
        </w:rPr>
        <w:t xml:space="preserve"> </w:t>
      </w:r>
      <w:r w:rsidR="00ED0FCD" w:rsidRPr="00AA30F4">
        <w:rPr>
          <w:rFonts w:asciiTheme="minorHAnsi" w:eastAsia="Arial" w:hAnsiTheme="minorHAnsi" w:cstheme="minorHAnsi"/>
          <w:b/>
          <w:bCs/>
        </w:rPr>
        <w:t>products</w:t>
      </w:r>
      <w:r w:rsidR="00B708CB" w:rsidRPr="00AA30F4">
        <w:rPr>
          <w:rFonts w:asciiTheme="minorHAnsi" w:eastAsia="Arial" w:hAnsiTheme="minorHAnsi" w:cstheme="minorHAnsi"/>
          <w:b/>
          <w:bCs/>
        </w:rPr>
        <w:t xml:space="preserve"> </w:t>
      </w:r>
      <w:r w:rsidR="00ED0FCD" w:rsidRPr="00AA30F4">
        <w:rPr>
          <w:rFonts w:asciiTheme="minorHAnsi" w:eastAsia="Arial" w:hAnsiTheme="minorHAnsi" w:cstheme="minorHAnsi"/>
          <w:b/>
          <w:bCs/>
        </w:rPr>
        <w:t>spread using</w:t>
      </w:r>
      <w:r w:rsidR="00B708CB" w:rsidRPr="00AA30F4">
        <w:rPr>
          <w:rFonts w:asciiTheme="minorHAnsi" w:eastAsia="Arial" w:hAnsiTheme="minorHAnsi" w:cstheme="minorHAnsi"/>
          <w:b/>
          <w:bCs/>
        </w:rPr>
        <w:t xml:space="preserve"> </w:t>
      </w:r>
      <w:r w:rsidR="001C3D7D" w:rsidRPr="00AA30F4">
        <w:rPr>
          <w:rFonts w:asciiTheme="minorHAnsi" w:eastAsia="Arial" w:hAnsiTheme="minorHAnsi" w:cstheme="minorHAnsi"/>
          <w:b/>
          <w:bCs/>
        </w:rPr>
        <w:t>booms and moving parts</w:t>
      </w:r>
      <w:r w:rsidR="00AA30F4" w:rsidRPr="00AA30F4">
        <w:rPr>
          <w:rFonts w:asciiTheme="minorHAnsi" w:eastAsia="Arial" w:hAnsiTheme="minorHAnsi" w:cstheme="minorHAnsi"/>
          <w:b/>
          <w:bCs/>
        </w:rPr>
        <w:t>, refer booklets two and three.</w:t>
      </w:r>
    </w:p>
    <w:p w14:paraId="24631534" w14:textId="77777777" w:rsidR="00D45DCF" w:rsidRDefault="00D45DCF" w:rsidP="00FC0213">
      <w:pPr>
        <w:spacing w:before="120" w:after="120"/>
        <w:ind w:left="851" w:hanging="851"/>
        <w:rPr>
          <w:rFonts w:asciiTheme="minorHAnsi" w:eastAsia="Arial" w:hAnsiTheme="minorHAnsi" w:cstheme="minorHAnsi"/>
          <w:b/>
          <w:bCs/>
          <w:caps/>
        </w:rPr>
      </w:pPr>
    </w:p>
    <w:p w14:paraId="08313B78" w14:textId="077A1739" w:rsidR="00D45DCF" w:rsidRPr="00D45DCF" w:rsidRDefault="00D45DCF" w:rsidP="00D45DCF">
      <w:pPr>
        <w:spacing w:before="120" w:after="120"/>
        <w:ind w:left="851" w:hanging="851"/>
        <w:rPr>
          <w:rFonts w:asciiTheme="minorHAnsi" w:eastAsia="Arial" w:hAnsiTheme="minorHAnsi" w:cstheme="minorHAnsi"/>
          <w:b/>
          <w:bCs/>
          <w:caps/>
        </w:rPr>
      </w:pPr>
      <w:r>
        <w:rPr>
          <w:rFonts w:asciiTheme="minorHAnsi" w:eastAsia="Arial" w:hAnsiTheme="minorHAnsi" w:cstheme="minorHAnsi"/>
          <w:b/>
          <w:bCs/>
          <w:caps/>
        </w:rPr>
        <w:t>PRINCIPLES</w:t>
      </w:r>
    </w:p>
    <w:p w14:paraId="63C31A52" w14:textId="77777777" w:rsidR="00D45DCF" w:rsidRPr="00D45DCF" w:rsidRDefault="00D45DCF" w:rsidP="00D45DCF">
      <w:pPr>
        <w:spacing w:before="120" w:after="240" w:line="240" w:lineRule="auto"/>
        <w:jc w:val="both"/>
        <w:rPr>
          <w:rFonts w:asciiTheme="minorHAnsi" w:eastAsia="Times New Roman" w:hAnsiTheme="minorHAnsi" w:cstheme="minorHAnsi"/>
          <w:color w:val="000000"/>
        </w:rPr>
      </w:pPr>
      <w:r w:rsidRPr="00D45DCF">
        <w:rPr>
          <w:rFonts w:asciiTheme="minorHAnsi" w:eastAsia="Times New Roman" w:hAnsiTheme="minorHAnsi" w:cstheme="minorHAnsi"/>
          <w:color w:val="000000"/>
        </w:rPr>
        <w:t>Section 5.1 of the Spreadmark Code of Practice lists a series of principles for spreader certification. These include:</w:t>
      </w:r>
    </w:p>
    <w:p w14:paraId="4ED5B0AD" w14:textId="4B6DB680" w:rsidR="00D45DCF" w:rsidRPr="00D45DCF" w:rsidRDefault="00D45DCF" w:rsidP="00D45DCF">
      <w:pPr>
        <w:numPr>
          <w:ilvl w:val="0"/>
          <w:numId w:val="20"/>
        </w:numPr>
        <w:spacing w:before="120" w:after="240" w:line="240" w:lineRule="auto"/>
        <w:contextualSpacing/>
        <w:jc w:val="both"/>
        <w:rPr>
          <w:rFonts w:eastAsia="Times New Roman" w:cstheme="minorHAnsi"/>
          <w:color w:val="000000"/>
        </w:rPr>
      </w:pPr>
      <w:r w:rsidRPr="00D45DCF">
        <w:rPr>
          <w:rFonts w:asciiTheme="majorHAnsi" w:eastAsia="Arial" w:hAnsiTheme="majorHAnsi" w:cstheme="majorHAnsi"/>
        </w:rPr>
        <w:t xml:space="preserve">The spreader test procedure allows each spreader </w:t>
      </w:r>
      <w:r w:rsidR="002E0DD1">
        <w:rPr>
          <w:rFonts w:asciiTheme="majorHAnsi" w:eastAsia="Arial" w:hAnsiTheme="majorHAnsi" w:cstheme="majorHAnsi"/>
        </w:rPr>
        <w:t xml:space="preserve">unit </w:t>
      </w:r>
      <w:r w:rsidRPr="00D45DCF">
        <w:rPr>
          <w:rFonts w:asciiTheme="majorHAnsi" w:eastAsia="Arial" w:hAnsiTheme="majorHAnsi" w:cstheme="majorHAnsi"/>
        </w:rPr>
        <w:t>to be characterised so it can be set to accommodate variable nutrient characteristics;</w:t>
      </w:r>
    </w:p>
    <w:p w14:paraId="76E7C478" w14:textId="77777777" w:rsidR="00D45DCF" w:rsidRPr="00D45DCF" w:rsidRDefault="00D45DCF" w:rsidP="00D45DCF">
      <w:pPr>
        <w:numPr>
          <w:ilvl w:val="0"/>
          <w:numId w:val="20"/>
        </w:numPr>
        <w:spacing w:before="120" w:after="240" w:line="240" w:lineRule="auto"/>
        <w:contextualSpacing/>
        <w:jc w:val="both"/>
        <w:rPr>
          <w:rFonts w:eastAsia="Times New Roman" w:cstheme="minorHAnsi"/>
          <w:color w:val="000000"/>
        </w:rPr>
      </w:pPr>
      <w:r w:rsidRPr="00D45DCF">
        <w:rPr>
          <w:rFonts w:asciiTheme="majorHAnsi" w:eastAsia="Arial" w:hAnsiTheme="majorHAnsi" w:cstheme="majorHAnsi"/>
        </w:rPr>
        <w:t>The test procedure has been linked to international methods and practice, adapted to New Zealand conditions;</w:t>
      </w:r>
    </w:p>
    <w:p w14:paraId="438F0918" w14:textId="37602989" w:rsidR="00D45DCF" w:rsidRPr="00D45DCF" w:rsidRDefault="00E16DBC" w:rsidP="00D45DCF">
      <w:pPr>
        <w:numPr>
          <w:ilvl w:val="0"/>
          <w:numId w:val="20"/>
        </w:numPr>
        <w:spacing w:before="120" w:after="240" w:line="240" w:lineRule="auto"/>
        <w:contextualSpacing/>
        <w:jc w:val="both"/>
        <w:rPr>
          <w:rFonts w:asciiTheme="majorHAnsi" w:eastAsia="Arial" w:hAnsiTheme="majorHAnsi" w:cstheme="majorHAnsi"/>
        </w:rPr>
      </w:pPr>
      <w:r>
        <w:rPr>
          <w:rFonts w:asciiTheme="majorHAnsi" w:eastAsia="Arial" w:hAnsiTheme="majorHAnsi" w:cstheme="majorHAnsi"/>
        </w:rPr>
        <w:t>R</w:t>
      </w:r>
      <w:r w:rsidR="00D45DCF" w:rsidRPr="00D45DCF">
        <w:rPr>
          <w:rFonts w:asciiTheme="majorHAnsi" w:eastAsia="Arial" w:hAnsiTheme="majorHAnsi" w:cstheme="majorHAnsi"/>
        </w:rPr>
        <w:t>equirements for wind speed and direction, angle of slope and nature of surface shall be set;</w:t>
      </w:r>
    </w:p>
    <w:p w14:paraId="615CB216" w14:textId="73C4CC85" w:rsidR="00D45DCF" w:rsidRPr="00D45DCF" w:rsidRDefault="005529B9" w:rsidP="00D45DCF">
      <w:pPr>
        <w:numPr>
          <w:ilvl w:val="0"/>
          <w:numId w:val="20"/>
        </w:numPr>
        <w:spacing w:before="120" w:after="240" w:line="240" w:lineRule="auto"/>
        <w:contextualSpacing/>
        <w:jc w:val="both"/>
        <w:rPr>
          <w:rFonts w:asciiTheme="majorHAnsi" w:eastAsia="Arial" w:hAnsiTheme="majorHAnsi" w:cstheme="majorHAnsi"/>
        </w:rPr>
      </w:pPr>
      <w:r>
        <w:rPr>
          <w:rFonts w:asciiTheme="majorHAnsi" w:eastAsia="Arial" w:hAnsiTheme="majorHAnsi" w:cstheme="majorHAnsi"/>
        </w:rPr>
        <w:t>T</w:t>
      </w:r>
      <w:r w:rsidR="00D45DCF" w:rsidRPr="00D45DCF">
        <w:rPr>
          <w:rFonts w:asciiTheme="majorHAnsi" w:eastAsia="Arial" w:hAnsiTheme="majorHAnsi" w:cstheme="majorHAnsi"/>
        </w:rPr>
        <w:t>esting shall be carried out in a way that does not cause environmental contamination by overloading the test site;</w:t>
      </w:r>
    </w:p>
    <w:p w14:paraId="3C28E410" w14:textId="77777777"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t>The evenness of nutrient spreading both across and along the direction of spreader travel is important and shall be expressed as a Coefficient of Variation;</w:t>
      </w:r>
    </w:p>
    <w:p w14:paraId="07C20D23" w14:textId="77777777"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t>To be Spreadmark Registered, application units must satisfy the performance standard for transverse CV% of 15% for nitrogenous nutrients and 25% for all other products;</w:t>
      </w:r>
    </w:p>
    <w:p w14:paraId="3A7EAA98" w14:textId="77777777"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t xml:space="preserve">Spreading units shall be tested on a sufficiently wide range of nutrients to provide a guide to the maximum safe bout width for the range of products the spreader distributes; </w:t>
      </w:r>
    </w:p>
    <w:p w14:paraId="28634982" w14:textId="77777777"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lastRenderedPageBreak/>
        <w:t>Spreader certification testing shall be done at regular intervals as prescribed in the Spreadmark Code of Practice;</w:t>
      </w:r>
    </w:p>
    <w:p w14:paraId="0407D43A" w14:textId="77777777"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t>Every certified spreader shall have, a unique identification number;</w:t>
      </w:r>
    </w:p>
    <w:p w14:paraId="3A380DC0" w14:textId="64F45265" w:rsidR="00D45DCF" w:rsidRPr="00D45DCF" w:rsidRDefault="00D45DCF" w:rsidP="00D45DCF">
      <w:pPr>
        <w:numPr>
          <w:ilvl w:val="0"/>
          <w:numId w:val="20"/>
        </w:numPr>
        <w:spacing w:before="120" w:after="240" w:line="240" w:lineRule="auto"/>
        <w:contextualSpacing/>
        <w:jc w:val="both"/>
        <w:rPr>
          <w:rFonts w:asciiTheme="majorHAnsi" w:eastAsia="Arial" w:hAnsiTheme="majorHAnsi" w:cstheme="majorHAnsi"/>
        </w:rPr>
      </w:pPr>
      <w:r w:rsidRPr="00D45DCF">
        <w:rPr>
          <w:rFonts w:asciiTheme="majorHAnsi" w:eastAsia="Arial" w:hAnsiTheme="majorHAnsi" w:cstheme="majorHAnsi"/>
        </w:rPr>
        <w:t xml:space="preserve">When </w:t>
      </w:r>
      <w:r w:rsidR="00C25530">
        <w:rPr>
          <w:rFonts w:asciiTheme="majorHAnsi" w:eastAsia="Arial" w:hAnsiTheme="majorHAnsi" w:cstheme="majorHAnsi"/>
        </w:rPr>
        <w:t>aircraft</w:t>
      </w:r>
      <w:r w:rsidRPr="00D45DCF">
        <w:rPr>
          <w:rFonts w:asciiTheme="majorHAnsi" w:eastAsia="Arial" w:hAnsiTheme="majorHAnsi" w:cstheme="majorHAnsi"/>
        </w:rPr>
        <w:t xml:space="preserve"> are sold from a Spreadmark registered company to another Spreadmark registered company, the current Spreadmark Test Certificates can be transferred to the new owner. If the sale is to a non-Spreadmark registered </w:t>
      </w:r>
      <w:proofErr w:type="gramStart"/>
      <w:r w:rsidRPr="00D45DCF">
        <w:rPr>
          <w:rFonts w:asciiTheme="majorHAnsi" w:eastAsia="Arial" w:hAnsiTheme="majorHAnsi" w:cstheme="majorHAnsi"/>
        </w:rPr>
        <w:t>company</w:t>
      </w:r>
      <w:proofErr w:type="gramEnd"/>
      <w:r w:rsidRPr="00D45DCF">
        <w:rPr>
          <w:rFonts w:asciiTheme="majorHAnsi" w:eastAsia="Arial" w:hAnsiTheme="majorHAnsi" w:cstheme="majorHAnsi"/>
        </w:rPr>
        <w:t xml:space="preserve"> then the certificates lapse.</w:t>
      </w:r>
      <w:bookmarkStart w:id="1" w:name="_bcwe2qypb8r2" w:colFirst="0" w:colLast="0"/>
      <w:bookmarkEnd w:id="1"/>
    </w:p>
    <w:p w14:paraId="0ECB0516" w14:textId="77777777" w:rsidR="00D45DCF" w:rsidRDefault="00D45DCF" w:rsidP="00FC0213">
      <w:pPr>
        <w:spacing w:before="120" w:after="120"/>
        <w:ind w:left="851" w:hanging="851"/>
        <w:rPr>
          <w:rFonts w:asciiTheme="minorHAnsi" w:eastAsia="Arial" w:hAnsiTheme="minorHAnsi" w:cstheme="minorHAnsi"/>
          <w:b/>
          <w:bCs/>
          <w:caps/>
        </w:rPr>
      </w:pPr>
    </w:p>
    <w:p w14:paraId="0020AAAA" w14:textId="19773F7B" w:rsidR="00FC0213" w:rsidRPr="00403D61" w:rsidRDefault="00FC0213" w:rsidP="00FC0213">
      <w:pPr>
        <w:spacing w:before="120" w:after="120"/>
        <w:ind w:left="851" w:hanging="851"/>
        <w:rPr>
          <w:rFonts w:asciiTheme="minorHAnsi" w:eastAsia="Arial" w:hAnsiTheme="minorHAnsi" w:cstheme="minorHAnsi"/>
          <w:b/>
          <w:bCs/>
          <w:caps/>
        </w:rPr>
      </w:pPr>
      <w:r w:rsidRPr="00403D61">
        <w:rPr>
          <w:rFonts w:asciiTheme="minorHAnsi" w:eastAsia="Arial" w:hAnsiTheme="minorHAnsi" w:cstheme="minorHAnsi"/>
          <w:b/>
          <w:bCs/>
          <w:caps/>
        </w:rPr>
        <w:t>Data Collection - general</w:t>
      </w:r>
    </w:p>
    <w:p w14:paraId="06290F2B" w14:textId="76103506" w:rsidR="00EB3E00" w:rsidRDefault="00DB070A" w:rsidP="00A1253D">
      <w:pPr>
        <w:spacing w:after="120" w:line="240" w:lineRule="auto"/>
        <w:jc w:val="both"/>
        <w:rPr>
          <w:rFonts w:asciiTheme="minorHAnsi" w:eastAsia="Arial" w:hAnsiTheme="minorHAnsi" w:cstheme="minorHAnsi"/>
        </w:rPr>
      </w:pPr>
      <w:r>
        <w:rPr>
          <w:rFonts w:asciiTheme="minorHAnsi" w:eastAsia="Arial" w:hAnsiTheme="minorHAnsi" w:cstheme="minorHAnsi"/>
        </w:rPr>
        <w:t xml:space="preserve">The principal piece of information required is the spread pattern achieved. </w:t>
      </w:r>
      <w:r w:rsidR="004E5937">
        <w:rPr>
          <w:rFonts w:asciiTheme="minorHAnsi" w:eastAsia="Arial" w:hAnsiTheme="minorHAnsi" w:cstheme="minorHAnsi"/>
        </w:rPr>
        <w:t xml:space="preserve">A spread pattern shall be available for a representative sample of baseline product for each </w:t>
      </w:r>
      <w:r w:rsidR="00930537">
        <w:rPr>
          <w:rFonts w:asciiTheme="minorHAnsi" w:eastAsia="Arial" w:hAnsiTheme="minorHAnsi" w:cstheme="minorHAnsi"/>
        </w:rPr>
        <w:t xml:space="preserve">application configuration. The spread pattern </w:t>
      </w:r>
      <w:r w:rsidR="00805314">
        <w:rPr>
          <w:rFonts w:asciiTheme="minorHAnsi" w:eastAsia="Arial" w:hAnsiTheme="minorHAnsi" w:cstheme="minorHAnsi"/>
        </w:rPr>
        <w:t xml:space="preserve">shall be established at one application rate that is typical or average for </w:t>
      </w:r>
      <w:r w:rsidR="003263DC">
        <w:rPr>
          <w:rFonts w:asciiTheme="minorHAnsi" w:eastAsia="Arial" w:hAnsiTheme="minorHAnsi" w:cstheme="minorHAnsi"/>
        </w:rPr>
        <w:t>that used for the product.</w:t>
      </w:r>
    </w:p>
    <w:p w14:paraId="68B643B7" w14:textId="131C83E6" w:rsidR="00403D61" w:rsidRDefault="00FC0213" w:rsidP="00A1253D">
      <w:pPr>
        <w:spacing w:after="120" w:line="240" w:lineRule="auto"/>
        <w:jc w:val="both"/>
        <w:rPr>
          <w:rFonts w:asciiTheme="minorHAnsi" w:eastAsia="Arial" w:hAnsiTheme="minorHAnsi" w:cstheme="minorHAnsi"/>
        </w:rPr>
      </w:pPr>
      <w:r w:rsidRPr="00D735F2">
        <w:rPr>
          <w:rFonts w:asciiTheme="minorHAnsi" w:eastAsia="Arial" w:hAnsiTheme="minorHAnsi" w:cstheme="minorHAnsi"/>
        </w:rPr>
        <w:t>Pattern test data for a</w:t>
      </w:r>
      <w:r w:rsidR="00001B4A">
        <w:rPr>
          <w:rFonts w:asciiTheme="minorHAnsi" w:eastAsia="Arial" w:hAnsiTheme="minorHAnsi" w:cstheme="minorHAnsi"/>
        </w:rPr>
        <w:t xml:space="preserve"> fixed wing</w:t>
      </w:r>
      <w:r w:rsidRPr="00D735F2">
        <w:rPr>
          <w:rFonts w:asciiTheme="minorHAnsi" w:eastAsia="Arial" w:hAnsiTheme="minorHAnsi" w:cstheme="minorHAnsi"/>
        </w:rPr>
        <w:t xml:space="preserve"> aircraft distribution system shall include</w:t>
      </w:r>
      <w:r w:rsidR="00403D61">
        <w:rPr>
          <w:rFonts w:asciiTheme="minorHAnsi" w:eastAsia="Arial" w:hAnsiTheme="minorHAnsi" w:cstheme="minorHAnsi"/>
        </w:rPr>
        <w:t>:</w:t>
      </w:r>
    </w:p>
    <w:p w14:paraId="08505C80" w14:textId="77777777" w:rsidR="001D6453" w:rsidRDefault="001D6453" w:rsidP="00A1253D">
      <w:pPr>
        <w:spacing w:after="120" w:line="240" w:lineRule="auto"/>
        <w:jc w:val="both"/>
        <w:rPr>
          <w:rFonts w:asciiTheme="minorHAnsi" w:eastAsia="Arial" w:hAnsiTheme="minorHAnsi" w:cstheme="minorHAnsi"/>
        </w:rPr>
      </w:pPr>
      <w:r>
        <w:rPr>
          <w:rFonts w:asciiTheme="minorHAnsi" w:eastAsia="Arial" w:hAnsiTheme="minorHAnsi" w:cstheme="minorHAnsi"/>
        </w:rPr>
        <w:t>A</w:t>
      </w:r>
      <w:r w:rsidR="00FC0213" w:rsidRPr="00D735F2">
        <w:rPr>
          <w:rFonts w:asciiTheme="minorHAnsi" w:eastAsia="Arial" w:hAnsiTheme="minorHAnsi" w:cstheme="minorHAnsi"/>
        </w:rPr>
        <w:t xml:space="preserve"> graph of the swath pattern from a single pass</w:t>
      </w:r>
      <w:r>
        <w:rPr>
          <w:rFonts w:asciiTheme="minorHAnsi" w:eastAsia="Arial" w:hAnsiTheme="minorHAnsi" w:cstheme="minorHAnsi"/>
        </w:rPr>
        <w:t>;</w:t>
      </w:r>
    </w:p>
    <w:p w14:paraId="6BC9FCDA" w14:textId="77777777" w:rsidR="001D6453" w:rsidRDefault="001D6453" w:rsidP="00A1253D">
      <w:pPr>
        <w:spacing w:after="120" w:line="240" w:lineRule="auto"/>
        <w:jc w:val="both"/>
        <w:rPr>
          <w:rFonts w:asciiTheme="minorHAnsi" w:eastAsia="Arial" w:hAnsiTheme="minorHAnsi" w:cstheme="minorHAnsi"/>
        </w:rPr>
      </w:pPr>
      <w:r>
        <w:rPr>
          <w:rFonts w:asciiTheme="minorHAnsi" w:eastAsia="Arial" w:hAnsiTheme="minorHAnsi" w:cstheme="minorHAnsi"/>
        </w:rPr>
        <w:t>A</w:t>
      </w:r>
      <w:r w:rsidR="00FC0213" w:rsidRPr="00D735F2">
        <w:rPr>
          <w:rFonts w:asciiTheme="minorHAnsi" w:eastAsia="Arial" w:hAnsiTheme="minorHAnsi" w:cstheme="minorHAnsi"/>
        </w:rPr>
        <w:t xml:space="preserve"> graph of the bout width vs. the CV% for evenness of application</w:t>
      </w:r>
      <w:r>
        <w:rPr>
          <w:rFonts w:asciiTheme="minorHAnsi" w:eastAsia="Arial" w:hAnsiTheme="minorHAnsi" w:cstheme="minorHAnsi"/>
        </w:rPr>
        <w:t>;</w:t>
      </w:r>
      <w:r w:rsidR="00FC0213" w:rsidRPr="00D735F2">
        <w:rPr>
          <w:rFonts w:asciiTheme="minorHAnsi" w:eastAsia="Arial" w:hAnsiTheme="minorHAnsi" w:cstheme="minorHAnsi"/>
        </w:rPr>
        <w:t xml:space="preserve"> </w:t>
      </w:r>
    </w:p>
    <w:p w14:paraId="528C27F4" w14:textId="7F5DDB2D" w:rsidR="00A1253D" w:rsidRDefault="001D6453" w:rsidP="00A1253D">
      <w:pPr>
        <w:spacing w:after="120" w:line="240" w:lineRule="auto"/>
        <w:jc w:val="both"/>
        <w:rPr>
          <w:rFonts w:asciiTheme="minorHAnsi" w:eastAsia="Arial" w:hAnsiTheme="minorHAnsi" w:cstheme="minorHAnsi"/>
        </w:rPr>
      </w:pPr>
      <w:r>
        <w:rPr>
          <w:rFonts w:asciiTheme="minorHAnsi" w:eastAsia="Arial" w:hAnsiTheme="minorHAnsi" w:cstheme="minorHAnsi"/>
        </w:rPr>
        <w:t>A</w:t>
      </w:r>
      <w:r w:rsidR="00FC0213" w:rsidRPr="00D735F2">
        <w:rPr>
          <w:rFonts w:asciiTheme="minorHAnsi" w:eastAsia="Arial" w:hAnsiTheme="minorHAnsi" w:cstheme="minorHAnsi"/>
        </w:rPr>
        <w:t xml:space="preserve"> record of maximum swath width</w:t>
      </w:r>
      <w:r w:rsidR="00A1253D">
        <w:rPr>
          <w:rFonts w:asciiTheme="minorHAnsi" w:eastAsia="Arial" w:hAnsiTheme="minorHAnsi" w:cstheme="minorHAnsi"/>
        </w:rPr>
        <w:t>;</w:t>
      </w:r>
      <w:r w:rsidR="00FC0213" w:rsidRPr="00D735F2">
        <w:rPr>
          <w:rFonts w:asciiTheme="minorHAnsi" w:eastAsia="Arial" w:hAnsiTheme="minorHAnsi" w:cstheme="minorHAnsi"/>
        </w:rPr>
        <w:t xml:space="preserve"> and </w:t>
      </w:r>
    </w:p>
    <w:p w14:paraId="003FFEE6" w14:textId="37638123" w:rsidR="00FC0213" w:rsidRPr="00D735F2" w:rsidRDefault="00115429" w:rsidP="00A1253D">
      <w:pPr>
        <w:spacing w:after="120" w:line="240" w:lineRule="auto"/>
        <w:jc w:val="both"/>
        <w:rPr>
          <w:rFonts w:asciiTheme="minorHAnsi" w:eastAsia="Arial" w:hAnsiTheme="minorHAnsi" w:cstheme="minorHAnsi"/>
        </w:rPr>
      </w:pPr>
      <w:r>
        <w:rPr>
          <w:rFonts w:asciiTheme="minorHAnsi" w:eastAsia="Arial" w:hAnsiTheme="minorHAnsi" w:cstheme="minorHAnsi"/>
        </w:rPr>
        <w:t>T</w:t>
      </w:r>
      <w:r w:rsidR="00FC0213" w:rsidRPr="00D735F2">
        <w:rPr>
          <w:rFonts w:asciiTheme="minorHAnsi" w:eastAsia="Arial" w:hAnsiTheme="minorHAnsi" w:cstheme="minorHAnsi"/>
        </w:rPr>
        <w:t>he following information:</w:t>
      </w:r>
    </w:p>
    <w:p w14:paraId="32226771" w14:textId="77777777" w:rsidR="00FC0213" w:rsidRPr="00D735F2" w:rsidRDefault="00FC0213" w:rsidP="00403D61">
      <w:pPr>
        <w:numPr>
          <w:ilvl w:val="0"/>
          <w:numId w:val="1"/>
        </w:numPr>
        <w:pBdr>
          <w:top w:val="nil"/>
          <w:left w:val="nil"/>
          <w:bottom w:val="nil"/>
          <w:right w:val="nil"/>
          <w:between w:val="nil"/>
        </w:pBdr>
        <w:spacing w:before="120"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Wind speed and direction at the test site (relative to the flight path or the line of collectors)</w:t>
      </w:r>
    </w:p>
    <w:p w14:paraId="6CE73081" w14:textId="56D93A8F" w:rsidR="00FC0213" w:rsidRPr="00D735F2" w:rsidRDefault="00E108A9"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Pr>
          <w:rFonts w:asciiTheme="minorHAnsi" w:eastAsia="Arial" w:hAnsiTheme="minorHAnsi" w:cstheme="minorHAnsi"/>
        </w:rPr>
        <w:t>Product</w:t>
      </w:r>
      <w:r w:rsidR="00FC0213" w:rsidRPr="00D735F2">
        <w:rPr>
          <w:rFonts w:asciiTheme="minorHAnsi" w:eastAsia="Arial" w:hAnsiTheme="minorHAnsi" w:cstheme="minorHAnsi"/>
          <w:color w:val="000000"/>
        </w:rPr>
        <w:t xml:space="preserve"> physical properties, including SGN, UI and Bulk Density.  </w:t>
      </w:r>
    </w:p>
    <w:p w14:paraId="7C3CB092" w14:textId="4C70E121" w:rsidR="00FC0213" w:rsidRPr="00D735F2"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Application rate (intended and achieved, kg per ha)</w:t>
      </w:r>
    </w:p>
    <w:p w14:paraId="3F4EC242" w14:textId="4E5AC07F" w:rsidR="00FC0213" w:rsidRPr="00D735F2"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Flight path (</w:t>
      </w:r>
      <w:r w:rsidR="00FE11A0" w:rsidRPr="00D735F2">
        <w:rPr>
          <w:rFonts w:asciiTheme="minorHAnsi" w:eastAsia="Arial" w:hAnsiTheme="minorHAnsi" w:cstheme="minorHAnsi"/>
          <w:color w:val="000000"/>
        </w:rPr>
        <w:t>centreline</w:t>
      </w:r>
      <w:r w:rsidRPr="00D735F2">
        <w:rPr>
          <w:rFonts w:asciiTheme="minorHAnsi" w:eastAsia="Arial" w:hAnsiTheme="minorHAnsi" w:cstheme="minorHAnsi"/>
          <w:color w:val="000000"/>
        </w:rPr>
        <w:t xml:space="preserve"> collector)</w:t>
      </w:r>
    </w:p>
    <w:p w14:paraId="4B7F2323" w14:textId="66A85451" w:rsidR="00FC0213" w:rsidRPr="00D735F2"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 xml:space="preserve">Application height (estimated + or – </w:t>
      </w:r>
      <w:r w:rsidR="00443BEF">
        <w:rPr>
          <w:rFonts w:asciiTheme="minorHAnsi" w:eastAsia="Arial" w:hAnsiTheme="minorHAnsi" w:cstheme="minorHAnsi"/>
          <w:color w:val="000000"/>
        </w:rPr>
        <w:t>15ft</w:t>
      </w:r>
      <w:r w:rsidRPr="00D735F2">
        <w:rPr>
          <w:rFonts w:asciiTheme="minorHAnsi" w:eastAsia="Arial" w:hAnsiTheme="minorHAnsi" w:cstheme="minorHAnsi"/>
          <w:color w:val="000000"/>
        </w:rPr>
        <w:t>)</w:t>
      </w:r>
    </w:p>
    <w:p w14:paraId="6773C24A" w14:textId="30B0A25F" w:rsidR="00FC0213" w:rsidRPr="00D735F2"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Ground speed (k</w:t>
      </w:r>
      <w:r w:rsidR="00846244">
        <w:rPr>
          <w:rFonts w:asciiTheme="minorHAnsi" w:eastAsia="Arial" w:hAnsiTheme="minorHAnsi" w:cstheme="minorHAnsi"/>
          <w:color w:val="000000"/>
        </w:rPr>
        <w:t>nots</w:t>
      </w:r>
      <w:r w:rsidRPr="00D735F2">
        <w:rPr>
          <w:rFonts w:asciiTheme="minorHAnsi" w:eastAsia="Arial" w:hAnsiTheme="minorHAnsi" w:cstheme="minorHAnsi"/>
          <w:color w:val="000000"/>
        </w:rPr>
        <w:t>/hr)</w:t>
      </w:r>
    </w:p>
    <w:p w14:paraId="5EF18326" w14:textId="6657EDBE" w:rsidR="00FC0213" w:rsidRPr="00D735F2"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D735F2">
        <w:rPr>
          <w:rFonts w:asciiTheme="minorHAnsi" w:eastAsia="Arial" w:hAnsiTheme="minorHAnsi" w:cstheme="minorHAnsi"/>
          <w:color w:val="000000"/>
        </w:rPr>
        <w:t>Collector size, spacing</w:t>
      </w:r>
      <w:r w:rsidR="00440470">
        <w:rPr>
          <w:rFonts w:asciiTheme="minorHAnsi" w:eastAsia="Arial" w:hAnsiTheme="minorHAnsi" w:cstheme="minorHAnsi"/>
          <w:color w:val="000000"/>
        </w:rPr>
        <w:t xml:space="preserve"> and</w:t>
      </w:r>
      <w:r w:rsidRPr="00D735F2">
        <w:rPr>
          <w:rFonts w:asciiTheme="minorHAnsi" w:eastAsia="Arial" w:hAnsiTheme="minorHAnsi" w:cstheme="minorHAnsi"/>
          <w:color w:val="000000"/>
        </w:rPr>
        <w:t xml:space="preserve"> number</w:t>
      </w:r>
      <w:r w:rsidR="00440470">
        <w:rPr>
          <w:rFonts w:asciiTheme="minorHAnsi" w:eastAsia="Arial" w:hAnsiTheme="minorHAnsi" w:cstheme="minorHAnsi"/>
          <w:color w:val="000000"/>
        </w:rPr>
        <w:t>.</w:t>
      </w:r>
    </w:p>
    <w:p w14:paraId="724122B7" w14:textId="564878AD" w:rsidR="00FC0213" w:rsidRPr="002F15CD" w:rsidRDefault="00FC0213" w:rsidP="00403D61">
      <w:pPr>
        <w:numPr>
          <w:ilvl w:val="0"/>
          <w:numId w:val="1"/>
        </w:numPr>
        <w:pBdr>
          <w:top w:val="nil"/>
          <w:left w:val="nil"/>
          <w:bottom w:val="nil"/>
          <w:right w:val="nil"/>
          <w:between w:val="nil"/>
        </w:pBdr>
        <w:spacing w:after="0" w:line="240" w:lineRule="auto"/>
        <w:jc w:val="both"/>
        <w:rPr>
          <w:rFonts w:asciiTheme="minorHAnsi" w:eastAsia="Arial" w:hAnsiTheme="minorHAnsi" w:cstheme="minorHAnsi"/>
          <w:color w:val="000000"/>
        </w:rPr>
      </w:pPr>
      <w:r w:rsidRPr="002F15CD">
        <w:rPr>
          <w:rFonts w:asciiTheme="minorHAnsi" w:eastAsia="Arial" w:hAnsiTheme="minorHAnsi" w:cstheme="minorHAnsi"/>
          <w:color w:val="000000"/>
        </w:rPr>
        <w:t xml:space="preserve">Weight of </w:t>
      </w:r>
      <w:r w:rsidR="002A15A8" w:rsidRPr="002F15CD">
        <w:rPr>
          <w:rFonts w:asciiTheme="minorHAnsi" w:eastAsia="Arial" w:hAnsiTheme="minorHAnsi" w:cstheme="minorHAnsi"/>
        </w:rPr>
        <w:t>product</w:t>
      </w:r>
      <w:r w:rsidRPr="002F15CD">
        <w:rPr>
          <w:rFonts w:asciiTheme="minorHAnsi" w:eastAsia="Arial" w:hAnsiTheme="minorHAnsi" w:cstheme="minorHAnsi"/>
          <w:color w:val="000000"/>
        </w:rPr>
        <w:t xml:space="preserve"> per </w:t>
      </w:r>
      <w:r w:rsidR="001271D2" w:rsidRPr="002F15CD">
        <w:rPr>
          <w:rFonts w:asciiTheme="minorHAnsi" w:eastAsia="Arial" w:hAnsiTheme="minorHAnsi" w:cstheme="minorHAnsi"/>
          <w:color w:val="000000"/>
        </w:rPr>
        <w:t>collector (</w:t>
      </w:r>
      <w:r w:rsidRPr="002F15CD">
        <w:rPr>
          <w:rFonts w:asciiTheme="minorHAnsi" w:eastAsia="Arial" w:hAnsiTheme="minorHAnsi" w:cstheme="minorHAnsi"/>
          <w:color w:val="000000"/>
        </w:rPr>
        <w:t>gm)</w:t>
      </w:r>
    </w:p>
    <w:p w14:paraId="47DDC57C" w14:textId="10FC9198" w:rsidR="00FC0213" w:rsidRPr="002F15CD" w:rsidRDefault="00FC0213" w:rsidP="00403D61">
      <w:pPr>
        <w:numPr>
          <w:ilvl w:val="0"/>
          <w:numId w:val="1"/>
        </w:numPr>
        <w:pBdr>
          <w:top w:val="nil"/>
          <w:left w:val="nil"/>
          <w:bottom w:val="nil"/>
          <w:right w:val="nil"/>
          <w:between w:val="nil"/>
        </w:pBdr>
        <w:spacing w:after="240" w:line="240" w:lineRule="auto"/>
        <w:jc w:val="both"/>
        <w:rPr>
          <w:rFonts w:asciiTheme="minorHAnsi" w:eastAsia="Arial" w:hAnsiTheme="minorHAnsi" w:cstheme="minorHAnsi"/>
          <w:color w:val="000000"/>
        </w:rPr>
      </w:pPr>
      <w:r w:rsidRPr="002F15CD">
        <w:rPr>
          <w:rFonts w:asciiTheme="minorHAnsi" w:eastAsia="Arial" w:hAnsiTheme="minorHAnsi" w:cstheme="minorHAnsi"/>
          <w:color w:val="000000"/>
        </w:rPr>
        <w:t xml:space="preserve">Application </w:t>
      </w:r>
      <w:r w:rsidR="00646335" w:rsidRPr="002F15CD">
        <w:rPr>
          <w:rFonts w:asciiTheme="minorHAnsi" w:eastAsia="Arial" w:hAnsiTheme="minorHAnsi" w:cstheme="minorHAnsi"/>
          <w:color w:val="000000"/>
        </w:rPr>
        <w:t>unit</w:t>
      </w:r>
      <w:r w:rsidRPr="002F15CD">
        <w:rPr>
          <w:rFonts w:asciiTheme="minorHAnsi" w:eastAsia="Arial" w:hAnsiTheme="minorHAnsi" w:cstheme="minorHAnsi"/>
          <w:color w:val="000000"/>
        </w:rPr>
        <w:t xml:space="preserve"> type</w:t>
      </w:r>
      <w:r w:rsidR="00F331AF" w:rsidRPr="002F15CD">
        <w:rPr>
          <w:rFonts w:asciiTheme="minorHAnsi" w:eastAsia="Arial" w:hAnsiTheme="minorHAnsi" w:cstheme="minorHAnsi"/>
          <w:color w:val="000000"/>
        </w:rPr>
        <w:t>.</w:t>
      </w:r>
    </w:p>
    <w:p w14:paraId="4E06E629" w14:textId="77777777" w:rsidR="00E155B8" w:rsidRPr="002F15CD" w:rsidRDefault="00717AE1" w:rsidP="00484D52">
      <w:pPr>
        <w:pBdr>
          <w:top w:val="nil"/>
          <w:left w:val="nil"/>
          <w:bottom w:val="nil"/>
          <w:right w:val="nil"/>
          <w:between w:val="nil"/>
        </w:pBdr>
        <w:spacing w:after="240" w:line="240" w:lineRule="auto"/>
        <w:jc w:val="both"/>
        <w:rPr>
          <w:rFonts w:asciiTheme="minorHAnsi" w:eastAsia="Arial" w:hAnsiTheme="minorHAnsi" w:cstheme="minorHAnsi"/>
          <w:color w:val="000000"/>
        </w:rPr>
      </w:pPr>
      <w:r w:rsidRPr="002F15CD">
        <w:rPr>
          <w:rFonts w:asciiTheme="minorHAnsi" w:eastAsia="Arial" w:hAnsiTheme="minorHAnsi" w:cstheme="minorHAnsi"/>
          <w:color w:val="000000"/>
        </w:rPr>
        <w:t>Collector</w:t>
      </w:r>
      <w:r w:rsidR="00C33B6B" w:rsidRPr="002F15CD">
        <w:rPr>
          <w:rFonts w:asciiTheme="minorHAnsi" w:eastAsia="Arial" w:hAnsiTheme="minorHAnsi" w:cstheme="minorHAnsi"/>
          <w:color w:val="000000"/>
        </w:rPr>
        <w:t xml:space="preserve">s used shall </w:t>
      </w:r>
      <w:r w:rsidR="009139B0" w:rsidRPr="002F15CD">
        <w:rPr>
          <w:rFonts w:asciiTheme="minorHAnsi" w:eastAsia="Arial" w:hAnsiTheme="minorHAnsi" w:cstheme="minorHAnsi"/>
          <w:color w:val="000000"/>
        </w:rPr>
        <w:t>comply with the Spreadmark specifications which are</w:t>
      </w:r>
      <w:r w:rsidR="00E155B8" w:rsidRPr="002F15CD">
        <w:rPr>
          <w:rFonts w:asciiTheme="minorHAnsi" w:eastAsia="Arial" w:hAnsiTheme="minorHAnsi" w:cstheme="minorHAnsi"/>
          <w:color w:val="000000"/>
        </w:rPr>
        <w:t>:</w:t>
      </w:r>
      <w:r w:rsidRPr="002F15CD">
        <w:rPr>
          <w:rFonts w:asciiTheme="minorHAnsi" w:eastAsia="Arial" w:hAnsiTheme="minorHAnsi" w:cstheme="minorHAnsi"/>
          <w:color w:val="000000"/>
        </w:rPr>
        <w:t xml:space="preserve"> </w:t>
      </w:r>
    </w:p>
    <w:p w14:paraId="32DB1DEB" w14:textId="2ACF4CBA" w:rsidR="00B177F3" w:rsidRPr="002F15CD" w:rsidRDefault="00665CD6" w:rsidP="00E155B8">
      <w:pPr>
        <w:pStyle w:val="ListParagraph"/>
        <w:numPr>
          <w:ilvl w:val="0"/>
          <w:numId w:val="19"/>
        </w:numPr>
        <w:pBdr>
          <w:top w:val="nil"/>
          <w:left w:val="nil"/>
          <w:bottom w:val="nil"/>
          <w:right w:val="nil"/>
          <w:between w:val="nil"/>
        </w:pBdr>
        <w:spacing w:after="240" w:line="240" w:lineRule="auto"/>
        <w:jc w:val="both"/>
        <w:rPr>
          <w:rFonts w:asciiTheme="minorHAnsi" w:eastAsia="Arial" w:hAnsiTheme="minorHAnsi" w:cstheme="minorHAnsi"/>
          <w:color w:val="000000"/>
        </w:rPr>
      </w:pPr>
      <w:r w:rsidRPr="002F15CD">
        <w:rPr>
          <w:rFonts w:asciiTheme="minorHAnsi" w:eastAsia="Arial" w:hAnsiTheme="minorHAnsi" w:cstheme="minorHAnsi"/>
          <w:color w:val="000000"/>
        </w:rPr>
        <w:t>S</w:t>
      </w:r>
      <w:r w:rsidR="003E5E99" w:rsidRPr="002F15CD">
        <w:rPr>
          <w:rFonts w:asciiTheme="minorHAnsi" w:eastAsia="Arial" w:hAnsiTheme="minorHAnsi" w:cstheme="minorHAnsi"/>
          <w:color w:val="000000"/>
        </w:rPr>
        <w:t>ize shall be no less than 500mm x 500mm x 140mm deep</w:t>
      </w:r>
      <w:r w:rsidR="00B177F3" w:rsidRPr="002F15CD">
        <w:rPr>
          <w:rFonts w:asciiTheme="minorHAnsi" w:eastAsia="Arial" w:hAnsiTheme="minorHAnsi" w:cstheme="minorHAnsi"/>
          <w:color w:val="000000"/>
        </w:rPr>
        <w:t>;</w:t>
      </w:r>
      <w:r w:rsidR="001E271C">
        <w:rPr>
          <w:rFonts w:asciiTheme="minorHAnsi" w:eastAsia="Arial" w:hAnsiTheme="minorHAnsi" w:cstheme="minorHAnsi"/>
          <w:color w:val="000000"/>
        </w:rPr>
        <w:t xml:space="preserve"> and</w:t>
      </w:r>
    </w:p>
    <w:p w14:paraId="3292D023" w14:textId="39DE2F67" w:rsidR="0016302F" w:rsidRPr="002F15CD" w:rsidRDefault="001E271C" w:rsidP="00E155B8">
      <w:pPr>
        <w:pStyle w:val="ListParagraph"/>
        <w:numPr>
          <w:ilvl w:val="0"/>
          <w:numId w:val="19"/>
        </w:numPr>
        <w:pBdr>
          <w:top w:val="nil"/>
          <w:left w:val="nil"/>
          <w:bottom w:val="nil"/>
          <w:right w:val="nil"/>
          <w:between w:val="nil"/>
        </w:pBdr>
        <w:spacing w:after="240" w:line="240" w:lineRule="auto"/>
        <w:jc w:val="both"/>
        <w:rPr>
          <w:rFonts w:asciiTheme="minorHAnsi" w:eastAsia="Arial" w:hAnsiTheme="minorHAnsi" w:cstheme="minorHAnsi"/>
          <w:color w:val="000000"/>
        </w:rPr>
      </w:pPr>
      <w:r>
        <w:rPr>
          <w:rFonts w:asciiTheme="minorHAnsi" w:eastAsia="Arial" w:hAnsiTheme="minorHAnsi" w:cstheme="minorHAnsi"/>
          <w:color w:val="000000"/>
        </w:rPr>
        <w:t>H</w:t>
      </w:r>
      <w:r w:rsidR="00BA02F9" w:rsidRPr="002F15CD">
        <w:rPr>
          <w:rFonts w:asciiTheme="minorHAnsi" w:eastAsia="Arial" w:hAnsiTheme="minorHAnsi" w:cstheme="minorHAnsi"/>
          <w:color w:val="000000"/>
        </w:rPr>
        <w:t xml:space="preserve">ave suitable anti-ricochet systems; </w:t>
      </w:r>
      <w:r w:rsidR="00846244">
        <w:rPr>
          <w:rFonts w:asciiTheme="minorHAnsi" w:eastAsia="Arial" w:hAnsiTheme="minorHAnsi" w:cstheme="minorHAnsi"/>
          <w:color w:val="000000"/>
        </w:rPr>
        <w:t>or</w:t>
      </w:r>
    </w:p>
    <w:p w14:paraId="38F70E67" w14:textId="206BC333" w:rsidR="001E271C" w:rsidRPr="001E271C" w:rsidRDefault="00846244" w:rsidP="001E271C">
      <w:pPr>
        <w:pStyle w:val="ListParagraph"/>
        <w:numPr>
          <w:ilvl w:val="0"/>
          <w:numId w:val="19"/>
        </w:numPr>
        <w:pBdr>
          <w:top w:val="nil"/>
          <w:left w:val="nil"/>
          <w:bottom w:val="nil"/>
          <w:right w:val="nil"/>
          <w:between w:val="nil"/>
        </w:pBdr>
        <w:spacing w:before="120" w:after="240" w:line="240" w:lineRule="auto"/>
        <w:jc w:val="both"/>
        <w:rPr>
          <w:rFonts w:asciiTheme="minorHAnsi" w:eastAsia="Arial" w:hAnsiTheme="minorHAnsi" w:cstheme="minorHAnsi"/>
          <w:b/>
          <w:bCs/>
          <w:caps/>
        </w:rPr>
      </w:pPr>
      <w:r>
        <w:rPr>
          <w:rFonts w:asciiTheme="minorHAnsi" w:eastAsia="Arial" w:hAnsiTheme="minorHAnsi" w:cstheme="minorHAnsi"/>
          <w:color w:val="000000"/>
        </w:rPr>
        <w:t>A</w:t>
      </w:r>
      <w:r w:rsidR="00BA02F9" w:rsidRPr="002F15CD">
        <w:rPr>
          <w:rFonts w:asciiTheme="minorHAnsi" w:eastAsia="Arial" w:hAnsiTheme="minorHAnsi" w:cstheme="minorHAnsi"/>
          <w:color w:val="000000"/>
        </w:rPr>
        <w:t>s approved by the Fertiliser Quality Council.</w:t>
      </w:r>
    </w:p>
    <w:p w14:paraId="1D18BECD" w14:textId="076B4307" w:rsidR="00B345FE" w:rsidRPr="00403D61" w:rsidRDefault="00FC0213" w:rsidP="00B345FE">
      <w:pPr>
        <w:spacing w:before="120" w:after="240"/>
        <w:ind w:left="851" w:hanging="851"/>
        <w:rPr>
          <w:rFonts w:asciiTheme="minorHAnsi" w:eastAsia="Arial" w:hAnsiTheme="minorHAnsi" w:cstheme="minorHAnsi"/>
          <w:b/>
          <w:bCs/>
          <w:caps/>
        </w:rPr>
      </w:pPr>
      <w:r w:rsidRPr="00403D61">
        <w:rPr>
          <w:rFonts w:asciiTheme="minorHAnsi" w:eastAsia="Arial" w:hAnsiTheme="minorHAnsi" w:cstheme="minorHAnsi"/>
          <w:b/>
          <w:bCs/>
          <w:caps/>
        </w:rPr>
        <w:t xml:space="preserve">Data collection – </w:t>
      </w:r>
      <w:r w:rsidR="00453F6D">
        <w:rPr>
          <w:rFonts w:asciiTheme="minorHAnsi" w:eastAsia="Arial" w:hAnsiTheme="minorHAnsi" w:cstheme="minorHAnsi"/>
          <w:b/>
          <w:bCs/>
          <w:caps/>
        </w:rPr>
        <w:t>SPREADER</w:t>
      </w:r>
      <w:r w:rsidR="00453F6D" w:rsidRPr="00403D61">
        <w:rPr>
          <w:rFonts w:asciiTheme="minorHAnsi" w:eastAsia="Arial" w:hAnsiTheme="minorHAnsi" w:cstheme="minorHAnsi"/>
          <w:b/>
          <w:bCs/>
          <w:caps/>
        </w:rPr>
        <w:t xml:space="preserve"> </w:t>
      </w:r>
      <w:r w:rsidR="00646335">
        <w:rPr>
          <w:rFonts w:asciiTheme="minorHAnsi" w:eastAsia="Arial" w:hAnsiTheme="minorHAnsi" w:cstheme="minorHAnsi"/>
          <w:b/>
          <w:bCs/>
          <w:caps/>
        </w:rPr>
        <w:t>UNIT</w:t>
      </w:r>
    </w:p>
    <w:tbl>
      <w:tblPr>
        <w:tblW w:w="9016"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00" w:firstRow="0" w:lastRow="0" w:firstColumn="0" w:lastColumn="0" w:noHBand="0" w:noVBand="1"/>
      </w:tblPr>
      <w:tblGrid>
        <w:gridCol w:w="2273"/>
        <w:gridCol w:w="3528"/>
        <w:gridCol w:w="3215"/>
      </w:tblGrid>
      <w:tr w:rsidR="00FC0213" w:rsidRPr="00D735F2" w14:paraId="3DC411E2" w14:textId="77777777" w:rsidTr="00DA1D33">
        <w:tc>
          <w:tcPr>
            <w:tcW w:w="2273" w:type="dxa"/>
            <w:tcBorders>
              <w:bottom w:val="single" w:sz="4" w:space="0" w:color="4F6228"/>
            </w:tcBorders>
            <w:shd w:val="clear" w:color="auto" w:fill="C2D69B"/>
            <w:vAlign w:val="center"/>
          </w:tcPr>
          <w:p w14:paraId="41D200E5" w14:textId="5D1BD85F" w:rsidR="00FC0213" w:rsidRPr="00D735F2" w:rsidRDefault="00FC0213" w:rsidP="00412E51">
            <w:pPr>
              <w:spacing w:after="0" w:line="240" w:lineRule="auto"/>
              <w:rPr>
                <w:rFonts w:asciiTheme="minorHAnsi" w:eastAsia="Arial" w:hAnsiTheme="minorHAnsi" w:cstheme="minorHAnsi"/>
                <w:b/>
              </w:rPr>
            </w:pPr>
            <w:r w:rsidRPr="00D735F2">
              <w:rPr>
                <w:rFonts w:asciiTheme="minorHAnsi" w:eastAsia="Arial" w:hAnsiTheme="minorHAnsi" w:cstheme="minorHAnsi"/>
                <w:b/>
              </w:rPr>
              <w:t>Spreader</w:t>
            </w:r>
            <w:r w:rsidR="00D75CD8">
              <w:rPr>
                <w:rFonts w:asciiTheme="minorHAnsi" w:eastAsia="Arial" w:hAnsiTheme="minorHAnsi" w:cstheme="minorHAnsi"/>
                <w:b/>
              </w:rPr>
              <w:t xml:space="preserve"> Unit Type</w:t>
            </w:r>
          </w:p>
        </w:tc>
        <w:tc>
          <w:tcPr>
            <w:tcW w:w="3528" w:type="dxa"/>
            <w:shd w:val="clear" w:color="auto" w:fill="C2D69B"/>
            <w:vAlign w:val="center"/>
          </w:tcPr>
          <w:p w14:paraId="30793BAA" w14:textId="77777777" w:rsidR="00FC0213" w:rsidRPr="00D735F2" w:rsidRDefault="00FC0213" w:rsidP="00412E51">
            <w:pPr>
              <w:spacing w:after="0" w:line="240" w:lineRule="auto"/>
              <w:rPr>
                <w:rFonts w:asciiTheme="minorHAnsi" w:eastAsia="Arial" w:hAnsiTheme="minorHAnsi" w:cstheme="minorHAnsi"/>
                <w:b/>
              </w:rPr>
            </w:pPr>
            <w:r w:rsidRPr="00D735F2">
              <w:rPr>
                <w:rFonts w:asciiTheme="minorHAnsi" w:eastAsia="Arial" w:hAnsiTheme="minorHAnsi" w:cstheme="minorHAnsi"/>
                <w:b/>
              </w:rPr>
              <w:t>Data</w:t>
            </w:r>
          </w:p>
        </w:tc>
        <w:tc>
          <w:tcPr>
            <w:tcW w:w="3215" w:type="dxa"/>
            <w:shd w:val="clear" w:color="auto" w:fill="C2D69B"/>
            <w:vAlign w:val="center"/>
          </w:tcPr>
          <w:p w14:paraId="35F2C6DE" w14:textId="77777777" w:rsidR="00FC0213" w:rsidRPr="00D735F2" w:rsidRDefault="00FC0213" w:rsidP="00412E51">
            <w:pPr>
              <w:spacing w:after="0" w:line="240" w:lineRule="auto"/>
              <w:rPr>
                <w:rFonts w:asciiTheme="minorHAnsi" w:eastAsia="Arial" w:hAnsiTheme="minorHAnsi" w:cstheme="minorHAnsi"/>
                <w:b/>
              </w:rPr>
            </w:pPr>
            <w:r w:rsidRPr="00D735F2">
              <w:rPr>
                <w:rFonts w:asciiTheme="minorHAnsi" w:eastAsia="Arial" w:hAnsiTheme="minorHAnsi" w:cstheme="minorHAnsi"/>
                <w:b/>
              </w:rPr>
              <w:t>Report</w:t>
            </w:r>
          </w:p>
        </w:tc>
      </w:tr>
      <w:tr w:rsidR="00FC0213" w:rsidRPr="00D735F2" w14:paraId="34E4DB93" w14:textId="77777777" w:rsidTr="00DA1D33">
        <w:tc>
          <w:tcPr>
            <w:tcW w:w="2273" w:type="dxa"/>
            <w:tcBorders>
              <w:bottom w:val="nil"/>
            </w:tcBorders>
            <w:shd w:val="clear" w:color="auto" w:fill="C2D69B"/>
          </w:tcPr>
          <w:p w14:paraId="25EEDFC6"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4940B0A4" w14:textId="192FD6C4"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 xml:space="preserve">Dimensions of outlet </w:t>
            </w:r>
          </w:p>
        </w:tc>
        <w:tc>
          <w:tcPr>
            <w:tcW w:w="3215" w:type="dxa"/>
            <w:shd w:val="clear" w:color="auto" w:fill="EBF1DD"/>
          </w:tcPr>
          <w:p w14:paraId="51C55E51"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 xml:space="preserve">  …………………</w:t>
            </w:r>
            <w:proofErr w:type="gramStart"/>
            <w:r w:rsidRPr="00D735F2">
              <w:rPr>
                <w:rFonts w:asciiTheme="minorHAnsi" w:eastAsia="Arial" w:hAnsiTheme="minorHAnsi" w:cstheme="minorHAnsi"/>
              </w:rPr>
              <w:t>…..</w:t>
            </w:r>
            <w:proofErr w:type="gramEnd"/>
            <w:r w:rsidRPr="00D735F2">
              <w:rPr>
                <w:rFonts w:asciiTheme="minorHAnsi" w:eastAsia="Arial" w:hAnsiTheme="minorHAnsi" w:cstheme="minorHAnsi"/>
              </w:rPr>
              <w:t>mm long</w:t>
            </w:r>
          </w:p>
          <w:p w14:paraId="1BC021FE"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 ……….mm wide</w:t>
            </w:r>
          </w:p>
        </w:tc>
      </w:tr>
      <w:tr w:rsidR="00FC0213" w:rsidRPr="00D735F2" w14:paraId="758A924A" w14:textId="77777777" w:rsidTr="00DA1D33">
        <w:tc>
          <w:tcPr>
            <w:tcW w:w="2273" w:type="dxa"/>
            <w:tcBorders>
              <w:top w:val="nil"/>
              <w:bottom w:val="nil"/>
            </w:tcBorders>
            <w:shd w:val="clear" w:color="auto" w:fill="C2D69B"/>
          </w:tcPr>
          <w:p w14:paraId="4AC8691F" w14:textId="77777777" w:rsidR="00FC0213" w:rsidRPr="00D735F2" w:rsidRDefault="00FC0213" w:rsidP="00412E51">
            <w:pPr>
              <w:spacing w:after="0" w:line="240" w:lineRule="auto"/>
              <w:rPr>
                <w:rFonts w:asciiTheme="minorHAnsi" w:eastAsia="Arial" w:hAnsiTheme="minorHAnsi" w:cstheme="minorHAnsi"/>
                <w:b/>
              </w:rPr>
            </w:pPr>
            <w:r w:rsidRPr="001E271C">
              <w:rPr>
                <w:rFonts w:asciiTheme="minorHAnsi" w:eastAsia="Arial" w:hAnsiTheme="minorHAnsi" w:cstheme="minorHAnsi"/>
                <w:b/>
              </w:rPr>
              <w:t>None</w:t>
            </w:r>
          </w:p>
          <w:p w14:paraId="0575B87C"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103327F2"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 xml:space="preserve">Type of outlet </w:t>
            </w:r>
          </w:p>
          <w:p w14:paraId="1590198D"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(clamshell/louvre/other)</w:t>
            </w:r>
          </w:p>
        </w:tc>
        <w:tc>
          <w:tcPr>
            <w:tcW w:w="3215" w:type="dxa"/>
            <w:shd w:val="clear" w:color="auto" w:fill="EBF1DD"/>
          </w:tcPr>
          <w:p w14:paraId="5430F742" w14:textId="77777777" w:rsidR="00FC0213" w:rsidRPr="00D735F2" w:rsidRDefault="00FC0213" w:rsidP="00412E51">
            <w:pPr>
              <w:spacing w:after="0" w:line="240" w:lineRule="auto"/>
              <w:rPr>
                <w:rFonts w:asciiTheme="minorHAnsi" w:eastAsia="Arial" w:hAnsiTheme="minorHAnsi" w:cstheme="minorHAnsi"/>
              </w:rPr>
            </w:pPr>
          </w:p>
        </w:tc>
      </w:tr>
      <w:tr w:rsidR="00FC0213" w:rsidRPr="00D735F2" w14:paraId="11C7E592" w14:textId="77777777" w:rsidTr="00DA1D33">
        <w:tc>
          <w:tcPr>
            <w:tcW w:w="2273" w:type="dxa"/>
            <w:tcBorders>
              <w:top w:val="nil"/>
            </w:tcBorders>
            <w:shd w:val="clear" w:color="auto" w:fill="C2D69B"/>
          </w:tcPr>
          <w:p w14:paraId="601B0FA0"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093358F3"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Fairings (describe)</w:t>
            </w:r>
          </w:p>
        </w:tc>
        <w:tc>
          <w:tcPr>
            <w:tcW w:w="3215" w:type="dxa"/>
            <w:shd w:val="clear" w:color="auto" w:fill="EBF1DD"/>
          </w:tcPr>
          <w:p w14:paraId="11E8245E" w14:textId="77777777" w:rsidR="00FC0213" w:rsidRPr="00D735F2" w:rsidRDefault="00FC0213" w:rsidP="00412E51">
            <w:pPr>
              <w:spacing w:after="0" w:line="240" w:lineRule="auto"/>
              <w:rPr>
                <w:rFonts w:asciiTheme="minorHAnsi" w:eastAsia="Arial" w:hAnsiTheme="minorHAnsi" w:cstheme="minorHAnsi"/>
              </w:rPr>
            </w:pPr>
          </w:p>
        </w:tc>
      </w:tr>
      <w:tr w:rsidR="00FC0213" w:rsidRPr="00D735F2" w14:paraId="43AE1106" w14:textId="77777777" w:rsidTr="00DA1D33">
        <w:tc>
          <w:tcPr>
            <w:tcW w:w="2273" w:type="dxa"/>
            <w:tcBorders>
              <w:bottom w:val="nil"/>
            </w:tcBorders>
            <w:shd w:val="clear" w:color="auto" w:fill="C2D69B"/>
          </w:tcPr>
          <w:p w14:paraId="3CBEC717"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7DE887E8"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 xml:space="preserve">Front (inlet) </w:t>
            </w:r>
          </w:p>
          <w:p w14:paraId="5CB2C538"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dimensions</w:t>
            </w:r>
          </w:p>
        </w:tc>
        <w:tc>
          <w:tcPr>
            <w:tcW w:w="3215" w:type="dxa"/>
            <w:shd w:val="clear" w:color="auto" w:fill="EBF1DD"/>
          </w:tcPr>
          <w:p w14:paraId="5144CB96"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………………………….mm</w:t>
            </w:r>
          </w:p>
          <w:p w14:paraId="574315F4" w14:textId="77777777" w:rsidR="00FC0213" w:rsidRPr="00D735F2" w:rsidRDefault="00FC0213" w:rsidP="00412E51">
            <w:pPr>
              <w:spacing w:after="0" w:line="240" w:lineRule="auto"/>
              <w:rPr>
                <w:rFonts w:asciiTheme="minorHAnsi" w:eastAsia="Arial" w:hAnsiTheme="minorHAnsi" w:cstheme="minorHAnsi"/>
              </w:rPr>
            </w:pPr>
          </w:p>
        </w:tc>
      </w:tr>
      <w:tr w:rsidR="00FC0213" w:rsidRPr="00D735F2" w14:paraId="4C1440F4" w14:textId="77777777" w:rsidTr="00DA1D33">
        <w:tc>
          <w:tcPr>
            <w:tcW w:w="2273" w:type="dxa"/>
            <w:tcBorders>
              <w:top w:val="nil"/>
              <w:bottom w:val="nil"/>
            </w:tcBorders>
            <w:shd w:val="clear" w:color="auto" w:fill="C2D69B"/>
          </w:tcPr>
          <w:p w14:paraId="07CFF5CA" w14:textId="77777777" w:rsidR="00FC0213" w:rsidRPr="00D735F2" w:rsidRDefault="00FC0213" w:rsidP="00412E51">
            <w:pPr>
              <w:spacing w:after="0" w:line="240" w:lineRule="auto"/>
              <w:rPr>
                <w:rFonts w:asciiTheme="minorHAnsi" w:eastAsia="Arial" w:hAnsiTheme="minorHAnsi" w:cstheme="minorHAnsi"/>
                <w:b/>
              </w:rPr>
            </w:pPr>
            <w:r w:rsidRPr="00D735F2">
              <w:rPr>
                <w:rFonts w:asciiTheme="minorHAnsi" w:eastAsia="Arial" w:hAnsiTheme="minorHAnsi" w:cstheme="minorHAnsi"/>
                <w:b/>
              </w:rPr>
              <w:t>Ram Air</w:t>
            </w:r>
          </w:p>
          <w:p w14:paraId="5014FB5B"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4FFBBC02"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Rear (outlet) dimensions</w:t>
            </w:r>
          </w:p>
        </w:tc>
        <w:tc>
          <w:tcPr>
            <w:tcW w:w="3215" w:type="dxa"/>
            <w:shd w:val="clear" w:color="auto" w:fill="EBF1DD"/>
          </w:tcPr>
          <w:p w14:paraId="07686C6D"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w:t>
            </w:r>
            <w:proofErr w:type="gramStart"/>
            <w:r w:rsidRPr="00D735F2">
              <w:rPr>
                <w:rFonts w:asciiTheme="minorHAnsi" w:eastAsia="Arial" w:hAnsiTheme="minorHAnsi" w:cstheme="minorHAnsi"/>
              </w:rPr>
              <w:t>…..</w:t>
            </w:r>
            <w:proofErr w:type="gramEnd"/>
            <w:r w:rsidRPr="00D735F2">
              <w:rPr>
                <w:rFonts w:asciiTheme="minorHAnsi" w:eastAsia="Arial" w:hAnsiTheme="minorHAnsi" w:cstheme="minorHAnsi"/>
              </w:rPr>
              <w:t>mm</w:t>
            </w:r>
          </w:p>
        </w:tc>
      </w:tr>
      <w:tr w:rsidR="00FC0213" w:rsidRPr="00D735F2" w14:paraId="6BFD12EA" w14:textId="77777777" w:rsidTr="00DA1D33">
        <w:tc>
          <w:tcPr>
            <w:tcW w:w="2273" w:type="dxa"/>
            <w:tcBorders>
              <w:top w:val="nil"/>
            </w:tcBorders>
            <w:shd w:val="clear" w:color="auto" w:fill="C2D69B"/>
          </w:tcPr>
          <w:p w14:paraId="400CA2B0" w14:textId="77777777" w:rsidR="00FC0213" w:rsidRPr="00D735F2" w:rsidRDefault="00FC0213" w:rsidP="00412E51">
            <w:pPr>
              <w:spacing w:after="0" w:line="240" w:lineRule="auto"/>
              <w:rPr>
                <w:rFonts w:asciiTheme="minorHAnsi" w:eastAsia="Arial" w:hAnsiTheme="minorHAnsi" w:cstheme="minorHAnsi"/>
                <w:b/>
              </w:rPr>
            </w:pPr>
          </w:p>
        </w:tc>
        <w:tc>
          <w:tcPr>
            <w:tcW w:w="3528" w:type="dxa"/>
            <w:shd w:val="clear" w:color="auto" w:fill="D7E3BC"/>
          </w:tcPr>
          <w:p w14:paraId="3FCA0FCE" w14:textId="77777777" w:rsidR="00FC0213" w:rsidRPr="00D735F2" w:rsidRDefault="00FC0213" w:rsidP="00412E51">
            <w:pPr>
              <w:spacing w:after="0" w:line="240" w:lineRule="auto"/>
              <w:rPr>
                <w:rFonts w:asciiTheme="minorHAnsi" w:eastAsia="Arial" w:hAnsiTheme="minorHAnsi" w:cstheme="minorHAnsi"/>
              </w:rPr>
            </w:pPr>
            <w:r w:rsidRPr="00D735F2">
              <w:rPr>
                <w:rFonts w:asciiTheme="minorHAnsi" w:eastAsia="Arial" w:hAnsiTheme="minorHAnsi" w:cstheme="minorHAnsi"/>
              </w:rPr>
              <w:t>Number of vanes</w:t>
            </w:r>
          </w:p>
        </w:tc>
        <w:tc>
          <w:tcPr>
            <w:tcW w:w="3215" w:type="dxa"/>
            <w:shd w:val="clear" w:color="auto" w:fill="EBF1DD"/>
          </w:tcPr>
          <w:p w14:paraId="45CD31D2" w14:textId="77777777" w:rsidR="00FC0213" w:rsidRPr="00D735F2" w:rsidRDefault="00FC0213" w:rsidP="00412E51">
            <w:pPr>
              <w:spacing w:after="0" w:line="240" w:lineRule="auto"/>
              <w:rPr>
                <w:rFonts w:asciiTheme="minorHAnsi" w:eastAsia="Arial" w:hAnsiTheme="minorHAnsi" w:cstheme="minorHAnsi"/>
              </w:rPr>
            </w:pPr>
          </w:p>
        </w:tc>
      </w:tr>
    </w:tbl>
    <w:p w14:paraId="247A800A" w14:textId="77777777" w:rsidR="00267A2A" w:rsidRDefault="00267A2A" w:rsidP="001A23CC">
      <w:pPr>
        <w:spacing w:before="120" w:after="240"/>
        <w:rPr>
          <w:rFonts w:asciiTheme="minorHAnsi" w:eastAsia="Arial" w:hAnsiTheme="minorHAnsi" w:cstheme="minorHAnsi"/>
          <w:b/>
          <w:bCs/>
          <w:caps/>
        </w:rPr>
      </w:pPr>
    </w:p>
    <w:p w14:paraId="0D5681DA" w14:textId="21734255" w:rsidR="00FC0213" w:rsidRPr="0024548A" w:rsidRDefault="00FC0213" w:rsidP="00FC0213">
      <w:pPr>
        <w:spacing w:before="120" w:after="120"/>
        <w:ind w:left="851" w:hanging="851"/>
        <w:rPr>
          <w:rFonts w:asciiTheme="minorHAnsi" w:eastAsia="Arial" w:hAnsiTheme="minorHAnsi" w:cstheme="minorHAnsi"/>
          <w:b/>
          <w:caps/>
        </w:rPr>
      </w:pPr>
      <w:r w:rsidRPr="0024548A">
        <w:rPr>
          <w:rFonts w:asciiTheme="minorHAnsi" w:eastAsia="Arial" w:hAnsiTheme="minorHAnsi" w:cstheme="minorHAnsi"/>
          <w:b/>
          <w:caps/>
        </w:rPr>
        <w:lastRenderedPageBreak/>
        <w:t>Data collection and reporting</w:t>
      </w:r>
    </w:p>
    <w:p w14:paraId="4AC034A1" w14:textId="77777777" w:rsidR="00FC0213" w:rsidRPr="00D735F2" w:rsidRDefault="00FC0213" w:rsidP="0024548A">
      <w:pPr>
        <w:spacing w:before="120" w:after="240" w:line="240" w:lineRule="auto"/>
        <w:jc w:val="both"/>
        <w:rPr>
          <w:rFonts w:asciiTheme="minorHAnsi" w:eastAsia="Arial" w:hAnsiTheme="minorHAnsi" w:cstheme="minorHAnsi"/>
        </w:rPr>
      </w:pPr>
      <w:r w:rsidRPr="00D735F2">
        <w:rPr>
          <w:rFonts w:asciiTheme="minorHAnsi" w:eastAsia="Arial" w:hAnsiTheme="minorHAnsi" w:cstheme="minorHAnsi"/>
        </w:rPr>
        <w:t>A spread pattern is determined by flying the aircraft over a line of approved collectors, then retrieving and weighing the amount of nutrient retained in each collector.  The data are used to plot a graph of the basic swath pattern from a single pass of the aircraft.</w:t>
      </w:r>
    </w:p>
    <w:p w14:paraId="1E96931D" w14:textId="7330C546" w:rsidR="00B345FE" w:rsidRPr="00D735F2" w:rsidRDefault="00FC0213" w:rsidP="0024548A">
      <w:pPr>
        <w:spacing w:before="120" w:after="240" w:line="240" w:lineRule="auto"/>
        <w:jc w:val="both"/>
        <w:rPr>
          <w:rFonts w:asciiTheme="minorHAnsi" w:eastAsia="Arial" w:hAnsiTheme="minorHAnsi" w:cstheme="minorHAnsi"/>
        </w:rPr>
      </w:pPr>
      <w:r w:rsidRPr="00D735F2">
        <w:rPr>
          <w:rFonts w:asciiTheme="minorHAnsi" w:eastAsia="Arial" w:hAnsiTheme="minorHAnsi" w:cstheme="minorHAnsi"/>
        </w:rPr>
        <w:t>The following conditions must be met when measuring the transverse distribution pattern for an Approved Aerial Pattern Test Certificate.  Wind speed and direction are particularly important along with the need to identify the flight path of the aircraft in relation to the line of collectors.</w:t>
      </w:r>
    </w:p>
    <w:tbl>
      <w:tblPr>
        <w:tblW w:w="9016"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00" w:firstRow="0" w:lastRow="0" w:firstColumn="0" w:lastColumn="0" w:noHBand="0" w:noVBand="1"/>
      </w:tblPr>
      <w:tblGrid>
        <w:gridCol w:w="4501"/>
        <w:gridCol w:w="4515"/>
      </w:tblGrid>
      <w:tr w:rsidR="00FC0213" w:rsidRPr="00D735F2" w14:paraId="7BB8256E" w14:textId="77777777" w:rsidTr="00DA1D33">
        <w:tc>
          <w:tcPr>
            <w:tcW w:w="4501" w:type="dxa"/>
            <w:shd w:val="clear" w:color="auto" w:fill="C2D69B"/>
            <w:vAlign w:val="center"/>
          </w:tcPr>
          <w:p w14:paraId="564A8133" w14:textId="77777777" w:rsidR="00FC0213" w:rsidRPr="00D735F2" w:rsidRDefault="00FC0213" w:rsidP="00DA1D33">
            <w:pPr>
              <w:spacing w:before="120" w:after="240"/>
              <w:rPr>
                <w:rFonts w:asciiTheme="minorHAnsi" w:eastAsia="Arial" w:hAnsiTheme="minorHAnsi" w:cstheme="minorHAnsi"/>
                <w:b/>
              </w:rPr>
            </w:pPr>
            <w:r w:rsidRPr="00D735F2">
              <w:rPr>
                <w:rFonts w:asciiTheme="minorHAnsi" w:eastAsia="Arial" w:hAnsiTheme="minorHAnsi" w:cstheme="minorHAnsi"/>
                <w:b/>
              </w:rPr>
              <w:t>Item</w:t>
            </w:r>
          </w:p>
        </w:tc>
        <w:tc>
          <w:tcPr>
            <w:tcW w:w="4515" w:type="dxa"/>
            <w:shd w:val="clear" w:color="auto" w:fill="C2D69B"/>
            <w:vAlign w:val="center"/>
          </w:tcPr>
          <w:p w14:paraId="034B52E7" w14:textId="77777777" w:rsidR="00FC0213" w:rsidRPr="00D735F2" w:rsidRDefault="00FC0213" w:rsidP="00DA1D33">
            <w:pPr>
              <w:rPr>
                <w:rFonts w:asciiTheme="minorHAnsi" w:eastAsia="Arial" w:hAnsiTheme="minorHAnsi" w:cstheme="minorHAnsi"/>
                <w:b/>
              </w:rPr>
            </w:pPr>
            <w:r w:rsidRPr="00D735F2">
              <w:rPr>
                <w:rFonts w:asciiTheme="minorHAnsi" w:eastAsia="Arial" w:hAnsiTheme="minorHAnsi" w:cstheme="minorHAnsi"/>
                <w:b/>
              </w:rPr>
              <w:t xml:space="preserve">Requirement </w:t>
            </w:r>
          </w:p>
        </w:tc>
      </w:tr>
      <w:tr w:rsidR="00FC0213" w:rsidRPr="00D735F2" w14:paraId="23D2FFEA" w14:textId="77777777" w:rsidTr="00DA1D33">
        <w:tc>
          <w:tcPr>
            <w:tcW w:w="4501" w:type="dxa"/>
            <w:shd w:val="clear" w:color="auto" w:fill="D7E3BC"/>
            <w:vAlign w:val="center"/>
          </w:tcPr>
          <w:p w14:paraId="6280F209" w14:textId="0DD058F8"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 xml:space="preserve">Spreading </w:t>
            </w:r>
            <w:r w:rsidR="00646335">
              <w:rPr>
                <w:rFonts w:asciiTheme="minorHAnsi" w:eastAsia="Arial" w:hAnsiTheme="minorHAnsi" w:cstheme="minorHAnsi"/>
              </w:rPr>
              <w:t>unit</w:t>
            </w:r>
          </w:p>
        </w:tc>
        <w:tc>
          <w:tcPr>
            <w:tcW w:w="4515" w:type="dxa"/>
            <w:shd w:val="clear" w:color="auto" w:fill="EBF1DD"/>
            <w:vAlign w:val="center"/>
          </w:tcPr>
          <w:p w14:paraId="07D2249B"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Clean and sound working condition</w:t>
            </w:r>
          </w:p>
        </w:tc>
      </w:tr>
      <w:tr w:rsidR="00FC0213" w:rsidRPr="00D735F2" w14:paraId="2AA5AF94" w14:textId="77777777" w:rsidTr="00DA1D33">
        <w:tc>
          <w:tcPr>
            <w:tcW w:w="4501" w:type="dxa"/>
            <w:shd w:val="clear" w:color="auto" w:fill="D7E3BC"/>
            <w:vAlign w:val="center"/>
          </w:tcPr>
          <w:p w14:paraId="70B070EC" w14:textId="77777777"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Hopper loading</w:t>
            </w:r>
          </w:p>
        </w:tc>
        <w:tc>
          <w:tcPr>
            <w:tcW w:w="4515" w:type="dxa"/>
            <w:shd w:val="clear" w:color="auto" w:fill="EBF1DD"/>
            <w:vAlign w:val="center"/>
          </w:tcPr>
          <w:p w14:paraId="3BE9016D"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 xml:space="preserve">Hopper content to be not less than one </w:t>
            </w:r>
          </w:p>
          <w:p w14:paraId="153B9A93" w14:textId="1658C8BC"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quarter full at the conclusion of a pattern test</w:t>
            </w:r>
          </w:p>
        </w:tc>
      </w:tr>
      <w:tr w:rsidR="00FC0213" w:rsidRPr="00D735F2" w14:paraId="5401A5F0" w14:textId="77777777" w:rsidTr="00DA1D33">
        <w:tc>
          <w:tcPr>
            <w:tcW w:w="4501" w:type="dxa"/>
            <w:shd w:val="clear" w:color="auto" w:fill="D7E3BC"/>
            <w:vAlign w:val="center"/>
          </w:tcPr>
          <w:p w14:paraId="314D80C1" w14:textId="77777777"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Application rate</w:t>
            </w:r>
          </w:p>
        </w:tc>
        <w:tc>
          <w:tcPr>
            <w:tcW w:w="4515" w:type="dxa"/>
            <w:shd w:val="clear" w:color="auto" w:fill="EBF1DD"/>
            <w:vAlign w:val="center"/>
          </w:tcPr>
          <w:p w14:paraId="05514A9A"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 xml:space="preserve">The application rate measured at the </w:t>
            </w:r>
          </w:p>
          <w:p w14:paraId="1AA7AB4C"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 xml:space="preserve">nominated BW shall be within 30% of </w:t>
            </w:r>
          </w:p>
          <w:p w14:paraId="2D6342AD"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the nominated application rate</w:t>
            </w:r>
          </w:p>
        </w:tc>
      </w:tr>
      <w:tr w:rsidR="00FC0213" w:rsidRPr="00D735F2" w14:paraId="5063A6A6" w14:textId="77777777" w:rsidTr="00DA1D33">
        <w:tc>
          <w:tcPr>
            <w:tcW w:w="4501" w:type="dxa"/>
            <w:shd w:val="clear" w:color="auto" w:fill="D7E3BC"/>
            <w:vAlign w:val="center"/>
          </w:tcPr>
          <w:p w14:paraId="5E47BFC7" w14:textId="77777777"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Speed over collectors</w:t>
            </w:r>
          </w:p>
        </w:tc>
        <w:tc>
          <w:tcPr>
            <w:tcW w:w="4515" w:type="dxa"/>
            <w:shd w:val="clear" w:color="auto" w:fill="EBF1DD"/>
            <w:vAlign w:val="center"/>
          </w:tcPr>
          <w:p w14:paraId="01951C19" w14:textId="17A3C2C1" w:rsidR="00FC0213" w:rsidRPr="00D735F2" w:rsidRDefault="00E000DF" w:rsidP="006E15B9">
            <w:pPr>
              <w:spacing w:after="0" w:line="240" w:lineRule="auto"/>
              <w:jc w:val="both"/>
              <w:rPr>
                <w:rFonts w:asciiTheme="minorHAnsi" w:eastAsia="Arial" w:hAnsiTheme="minorHAnsi" w:cstheme="minorHAnsi"/>
              </w:rPr>
            </w:pPr>
            <w:r>
              <w:rPr>
                <w:rFonts w:asciiTheme="minorHAnsi" w:eastAsia="Arial" w:hAnsiTheme="minorHAnsi" w:cstheme="minorHAnsi"/>
              </w:rPr>
              <w:t>Normal</w:t>
            </w:r>
            <w:r w:rsidR="00FC0213" w:rsidRPr="00D735F2">
              <w:rPr>
                <w:rFonts w:asciiTheme="minorHAnsi" w:eastAsia="Arial" w:hAnsiTheme="minorHAnsi" w:cstheme="minorHAnsi"/>
              </w:rPr>
              <w:t xml:space="preserve"> operating spee</w:t>
            </w:r>
            <w:r w:rsidR="008053E7">
              <w:rPr>
                <w:rFonts w:asciiTheme="minorHAnsi" w:eastAsia="Arial" w:hAnsiTheme="minorHAnsi" w:cstheme="minorHAnsi"/>
              </w:rPr>
              <w:t>d</w:t>
            </w:r>
            <w:r w:rsidR="00E24F07">
              <w:rPr>
                <w:rFonts w:asciiTheme="minorHAnsi" w:eastAsia="Arial" w:hAnsiTheme="minorHAnsi" w:cstheme="minorHAnsi"/>
              </w:rPr>
              <w:t xml:space="preserve"> </w:t>
            </w:r>
          </w:p>
        </w:tc>
      </w:tr>
      <w:tr w:rsidR="00A62578" w:rsidRPr="00D735F2" w14:paraId="0C5AF733" w14:textId="77777777" w:rsidTr="00DA1D33">
        <w:tc>
          <w:tcPr>
            <w:tcW w:w="4501" w:type="dxa"/>
            <w:shd w:val="clear" w:color="auto" w:fill="D7E3BC"/>
            <w:vAlign w:val="center"/>
          </w:tcPr>
          <w:p w14:paraId="1ECA625A" w14:textId="6C660229" w:rsidR="00A62578" w:rsidRPr="00D735F2" w:rsidRDefault="00E000DF" w:rsidP="00DA1D33">
            <w:pPr>
              <w:spacing w:before="120" w:after="120"/>
              <w:rPr>
                <w:rFonts w:asciiTheme="minorHAnsi" w:eastAsia="Arial" w:hAnsiTheme="minorHAnsi" w:cstheme="minorHAnsi"/>
              </w:rPr>
            </w:pPr>
            <w:r>
              <w:rPr>
                <w:rFonts w:asciiTheme="minorHAnsi" w:eastAsia="Arial" w:hAnsiTheme="minorHAnsi" w:cstheme="minorHAnsi"/>
              </w:rPr>
              <w:t>Height above ground level</w:t>
            </w:r>
          </w:p>
        </w:tc>
        <w:tc>
          <w:tcPr>
            <w:tcW w:w="4515" w:type="dxa"/>
            <w:shd w:val="clear" w:color="auto" w:fill="EBF1DD"/>
            <w:vAlign w:val="center"/>
          </w:tcPr>
          <w:p w14:paraId="552BCCC1" w14:textId="3ABF7D86" w:rsidR="00A62578" w:rsidRPr="00D735F2" w:rsidRDefault="00E000DF" w:rsidP="006E15B9">
            <w:pPr>
              <w:spacing w:after="0" w:line="240" w:lineRule="auto"/>
              <w:jc w:val="both"/>
              <w:rPr>
                <w:rFonts w:asciiTheme="minorHAnsi" w:eastAsia="Arial" w:hAnsiTheme="minorHAnsi" w:cstheme="minorHAnsi"/>
              </w:rPr>
            </w:pPr>
            <w:r>
              <w:rPr>
                <w:rFonts w:asciiTheme="minorHAnsi" w:eastAsia="Arial" w:hAnsiTheme="minorHAnsi" w:cstheme="minorHAnsi"/>
              </w:rPr>
              <w:t>Between 100 and 120 feet</w:t>
            </w:r>
          </w:p>
        </w:tc>
      </w:tr>
      <w:tr w:rsidR="00FC0213" w:rsidRPr="00D735F2" w14:paraId="05C5AE82" w14:textId="77777777" w:rsidTr="00DA1D33">
        <w:tc>
          <w:tcPr>
            <w:tcW w:w="4501" w:type="dxa"/>
            <w:shd w:val="clear" w:color="auto" w:fill="D7E3BC"/>
            <w:vAlign w:val="center"/>
          </w:tcPr>
          <w:p w14:paraId="19FD17A8" w14:textId="77777777"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Number of passes over collectors</w:t>
            </w:r>
          </w:p>
        </w:tc>
        <w:tc>
          <w:tcPr>
            <w:tcW w:w="4515" w:type="dxa"/>
            <w:shd w:val="clear" w:color="auto" w:fill="EBF1DD"/>
            <w:vAlign w:val="center"/>
          </w:tcPr>
          <w:p w14:paraId="1D8155CF" w14:textId="77777777" w:rsidR="00FC0213" w:rsidRPr="00D735F2" w:rsidRDefault="00FC0213" w:rsidP="006E15B9">
            <w:pPr>
              <w:spacing w:after="0" w:line="240" w:lineRule="auto"/>
              <w:jc w:val="both"/>
              <w:rPr>
                <w:rFonts w:asciiTheme="minorHAnsi" w:eastAsia="Arial" w:hAnsiTheme="minorHAnsi" w:cstheme="minorHAnsi"/>
              </w:rPr>
            </w:pPr>
            <w:r w:rsidRPr="00D735F2">
              <w:rPr>
                <w:rFonts w:asciiTheme="minorHAnsi" w:eastAsia="Arial" w:hAnsiTheme="minorHAnsi" w:cstheme="minorHAnsi"/>
              </w:rPr>
              <w:t>One per spread pattern test</w:t>
            </w:r>
          </w:p>
        </w:tc>
      </w:tr>
      <w:tr w:rsidR="00FC0213" w:rsidRPr="00D735F2" w14:paraId="5C17F438" w14:textId="77777777" w:rsidTr="00DA1D33">
        <w:tc>
          <w:tcPr>
            <w:tcW w:w="4501" w:type="dxa"/>
            <w:shd w:val="clear" w:color="auto" w:fill="D7E3BC"/>
            <w:vAlign w:val="center"/>
          </w:tcPr>
          <w:p w14:paraId="0BC46F92" w14:textId="59234699" w:rsidR="00FC0213" w:rsidRPr="00D735F2" w:rsidRDefault="00FC0213" w:rsidP="00DA1D33">
            <w:pPr>
              <w:spacing w:before="120" w:after="120"/>
              <w:rPr>
                <w:rFonts w:asciiTheme="minorHAnsi" w:eastAsia="Arial" w:hAnsiTheme="minorHAnsi" w:cstheme="minorHAnsi"/>
              </w:rPr>
            </w:pPr>
            <w:r w:rsidRPr="00D735F2">
              <w:rPr>
                <w:rFonts w:asciiTheme="minorHAnsi" w:eastAsia="Arial" w:hAnsiTheme="minorHAnsi" w:cstheme="minorHAnsi"/>
              </w:rPr>
              <w:t>Wind speed and directio</w:t>
            </w:r>
            <w:r w:rsidR="00B345FE">
              <w:rPr>
                <w:rFonts w:asciiTheme="minorHAnsi" w:eastAsia="Arial" w:hAnsiTheme="minorHAnsi" w:cstheme="minorHAnsi"/>
              </w:rPr>
              <w:t>n</w:t>
            </w:r>
            <w:r w:rsidR="00B345FE">
              <w:rPr>
                <w:rStyle w:val="FootnoteReference"/>
                <w:rFonts w:asciiTheme="minorHAnsi" w:eastAsia="Arial" w:hAnsiTheme="minorHAnsi" w:cstheme="minorHAnsi"/>
              </w:rPr>
              <w:footnoteReference w:id="1"/>
            </w:r>
          </w:p>
        </w:tc>
        <w:tc>
          <w:tcPr>
            <w:tcW w:w="4515" w:type="dxa"/>
            <w:shd w:val="clear" w:color="auto" w:fill="EBF1DD"/>
            <w:vAlign w:val="center"/>
          </w:tcPr>
          <w:p w14:paraId="24654515" w14:textId="503D1260" w:rsidR="00FC0213" w:rsidRPr="00D735F2" w:rsidRDefault="00FE7914" w:rsidP="006E15B9">
            <w:pPr>
              <w:spacing w:after="0" w:line="240" w:lineRule="auto"/>
              <w:jc w:val="both"/>
              <w:rPr>
                <w:rFonts w:asciiTheme="minorHAnsi" w:eastAsia="Arial" w:hAnsiTheme="minorHAnsi" w:cstheme="minorHAnsi"/>
              </w:rPr>
            </w:pPr>
            <w:r>
              <w:rPr>
                <w:rFonts w:asciiTheme="minorHAnsi" w:eastAsia="Arial" w:hAnsiTheme="minorHAnsi" w:cstheme="minorHAnsi"/>
              </w:rPr>
              <w:t>N</w:t>
            </w:r>
            <w:r w:rsidR="00FC0213" w:rsidRPr="00D735F2">
              <w:rPr>
                <w:rFonts w:asciiTheme="minorHAnsi" w:eastAsia="Arial" w:hAnsiTheme="minorHAnsi" w:cstheme="minorHAnsi"/>
              </w:rPr>
              <w:t>ot greater than 15 km/hr and not more than ± 15</w:t>
            </w:r>
            <w:r w:rsidR="00FC0213" w:rsidRPr="00D735F2">
              <w:rPr>
                <w:rFonts w:asciiTheme="minorHAnsi" w:eastAsia="Arial" w:hAnsiTheme="minorHAnsi" w:cstheme="minorHAnsi"/>
                <w:vertAlign w:val="superscript"/>
              </w:rPr>
              <w:t>o</w:t>
            </w:r>
            <w:r w:rsidR="00FC0213" w:rsidRPr="00D735F2">
              <w:rPr>
                <w:rFonts w:asciiTheme="minorHAnsi" w:eastAsia="Arial" w:hAnsiTheme="minorHAnsi" w:cstheme="minorHAnsi"/>
              </w:rPr>
              <w:t xml:space="preserve"> in the direction of travel.  Tests can be into or </w:t>
            </w:r>
            <w:proofErr w:type="gramStart"/>
            <w:r w:rsidR="00DD492E" w:rsidRPr="00D735F2">
              <w:rPr>
                <w:rFonts w:asciiTheme="minorHAnsi" w:eastAsia="Arial" w:hAnsiTheme="minorHAnsi" w:cstheme="minorHAnsi"/>
              </w:rPr>
              <w:t>downwind</w:t>
            </w:r>
            <w:proofErr w:type="gramEnd"/>
            <w:r w:rsidR="00FC0213" w:rsidRPr="00D735F2">
              <w:rPr>
                <w:rFonts w:asciiTheme="minorHAnsi" w:eastAsia="Arial" w:hAnsiTheme="minorHAnsi" w:cstheme="minorHAnsi"/>
              </w:rPr>
              <w:t xml:space="preserve"> but the ground speed of the aircraft shall be recorded</w:t>
            </w:r>
          </w:p>
        </w:tc>
      </w:tr>
    </w:tbl>
    <w:p w14:paraId="47093180" w14:textId="350CB695" w:rsidR="00FC0213" w:rsidRPr="00B77FF6" w:rsidRDefault="00FC0213" w:rsidP="00FC0213">
      <w:pPr>
        <w:spacing w:before="120" w:after="120"/>
        <w:rPr>
          <w:rFonts w:asciiTheme="minorHAnsi" w:eastAsia="Arial" w:hAnsiTheme="minorHAnsi" w:cstheme="minorHAnsi"/>
          <w:b/>
          <w:caps/>
        </w:rPr>
      </w:pPr>
      <w:r w:rsidRPr="00B77FF6">
        <w:rPr>
          <w:rFonts w:asciiTheme="minorHAnsi" w:eastAsia="Arial" w:hAnsiTheme="minorHAnsi" w:cstheme="minorHAnsi"/>
          <w:b/>
          <w:caps/>
        </w:rPr>
        <w:t>Reporting</w:t>
      </w:r>
    </w:p>
    <w:p w14:paraId="46BCDE8E" w14:textId="1924E919" w:rsidR="00FC0213" w:rsidRPr="00D735F2" w:rsidRDefault="00FC0213" w:rsidP="001A23CC">
      <w:pPr>
        <w:spacing w:before="120" w:after="240" w:line="240" w:lineRule="auto"/>
        <w:jc w:val="both"/>
        <w:rPr>
          <w:rFonts w:asciiTheme="minorHAnsi" w:eastAsia="Arial" w:hAnsiTheme="minorHAnsi" w:cstheme="minorHAnsi"/>
        </w:rPr>
      </w:pPr>
      <w:r w:rsidRPr="00D735F2">
        <w:rPr>
          <w:rFonts w:asciiTheme="minorHAnsi" w:eastAsia="Arial" w:hAnsiTheme="minorHAnsi" w:cstheme="minorHAnsi"/>
        </w:rPr>
        <w:t xml:space="preserve">Approved Aerial Spreading </w:t>
      </w:r>
      <w:r w:rsidR="00646335">
        <w:rPr>
          <w:rFonts w:asciiTheme="minorHAnsi" w:eastAsia="Arial" w:hAnsiTheme="minorHAnsi" w:cstheme="minorHAnsi"/>
        </w:rPr>
        <w:t>Unit</w:t>
      </w:r>
      <w:r w:rsidRPr="00D735F2">
        <w:rPr>
          <w:rFonts w:asciiTheme="minorHAnsi" w:eastAsia="Arial" w:hAnsiTheme="minorHAnsi" w:cstheme="minorHAnsi"/>
        </w:rPr>
        <w:t xml:space="preserve"> Testers will, at the conclusion of the test, produce an Approved Aerial Pattern Test Certificate.  An Aerial Pattern Test is approved by the Executive Director, Fertiliser Quality Council or their nominee.</w:t>
      </w:r>
    </w:p>
    <w:p w14:paraId="56B2CC5F" w14:textId="00732967" w:rsidR="00FC0213" w:rsidRPr="00D735F2" w:rsidRDefault="00FC0213" w:rsidP="00FC0213">
      <w:pPr>
        <w:spacing w:before="120" w:after="120" w:line="240" w:lineRule="auto"/>
        <w:rPr>
          <w:rFonts w:asciiTheme="minorHAnsi" w:eastAsia="Arial" w:hAnsiTheme="minorHAnsi" w:cstheme="minorHAnsi"/>
        </w:rPr>
      </w:pPr>
      <w:r w:rsidRPr="00D735F2">
        <w:rPr>
          <w:rFonts w:asciiTheme="minorHAnsi" w:eastAsia="Arial" w:hAnsiTheme="minorHAnsi" w:cstheme="minorHAnsi"/>
        </w:rPr>
        <w:t>The Certificate must show the data collected and include:</w:t>
      </w:r>
    </w:p>
    <w:p w14:paraId="245729BC" w14:textId="77777777" w:rsidR="00FC0213" w:rsidRPr="00D735F2" w:rsidRDefault="00FC0213" w:rsidP="00FC0213">
      <w:pPr>
        <w:numPr>
          <w:ilvl w:val="0"/>
          <w:numId w:val="2"/>
        </w:numPr>
        <w:pBdr>
          <w:top w:val="nil"/>
          <w:left w:val="nil"/>
          <w:bottom w:val="nil"/>
          <w:right w:val="nil"/>
          <w:between w:val="nil"/>
        </w:pBdr>
        <w:spacing w:before="120" w:after="0" w:line="240" w:lineRule="auto"/>
        <w:rPr>
          <w:rFonts w:asciiTheme="minorHAnsi" w:eastAsia="Arial" w:hAnsiTheme="minorHAnsi" w:cstheme="minorHAnsi"/>
          <w:color w:val="000000"/>
        </w:rPr>
      </w:pPr>
      <w:r w:rsidRPr="00D735F2">
        <w:rPr>
          <w:rFonts w:asciiTheme="minorHAnsi" w:eastAsia="Arial" w:hAnsiTheme="minorHAnsi" w:cstheme="minorHAnsi"/>
          <w:color w:val="000000"/>
        </w:rPr>
        <w:t xml:space="preserve">The operators name and aircraft identification </w:t>
      </w:r>
    </w:p>
    <w:p w14:paraId="3EE8E73D" w14:textId="7331B32D" w:rsidR="00FC0213" w:rsidRPr="00D735F2" w:rsidRDefault="00FC0213" w:rsidP="00FC0213">
      <w:pPr>
        <w:numPr>
          <w:ilvl w:val="0"/>
          <w:numId w:val="2"/>
        </w:numPr>
        <w:pBdr>
          <w:top w:val="nil"/>
          <w:left w:val="nil"/>
          <w:bottom w:val="nil"/>
          <w:right w:val="nil"/>
          <w:between w:val="nil"/>
        </w:pBdr>
        <w:spacing w:after="0" w:line="240" w:lineRule="auto"/>
        <w:rPr>
          <w:rFonts w:asciiTheme="minorHAnsi" w:eastAsia="Arial" w:hAnsiTheme="minorHAnsi" w:cstheme="minorHAnsi"/>
          <w:color w:val="000000"/>
        </w:rPr>
      </w:pPr>
      <w:r w:rsidRPr="00D735F2">
        <w:rPr>
          <w:rFonts w:asciiTheme="minorHAnsi" w:eastAsia="Arial" w:hAnsiTheme="minorHAnsi" w:cstheme="minorHAnsi"/>
          <w:color w:val="000000"/>
        </w:rPr>
        <w:t xml:space="preserve">The Certified Bout Width for each </w:t>
      </w:r>
      <w:r w:rsidRPr="00D735F2">
        <w:rPr>
          <w:rFonts w:asciiTheme="minorHAnsi" w:eastAsia="Arial" w:hAnsiTheme="minorHAnsi" w:cstheme="minorHAnsi"/>
        </w:rPr>
        <w:t>nutrient</w:t>
      </w:r>
      <w:r w:rsidRPr="00D735F2">
        <w:rPr>
          <w:rFonts w:asciiTheme="minorHAnsi" w:eastAsia="Arial" w:hAnsiTheme="minorHAnsi" w:cstheme="minorHAnsi"/>
          <w:color w:val="000000"/>
        </w:rPr>
        <w:t xml:space="preserve"> tested –see Note below</w:t>
      </w:r>
      <w:r w:rsidR="009B2CA8">
        <w:rPr>
          <w:rFonts w:asciiTheme="minorHAnsi" w:eastAsia="Arial" w:hAnsiTheme="minorHAnsi" w:cstheme="minorHAnsi"/>
          <w:color w:val="000000"/>
        </w:rPr>
        <w:t>.</w:t>
      </w:r>
    </w:p>
    <w:p w14:paraId="07FBF61E" w14:textId="6E99EAC8" w:rsidR="00FC0213" w:rsidRPr="00954C10" w:rsidRDefault="00FC0213" w:rsidP="00FC0213">
      <w:pPr>
        <w:numPr>
          <w:ilvl w:val="0"/>
          <w:numId w:val="2"/>
        </w:numPr>
        <w:pBdr>
          <w:top w:val="nil"/>
          <w:left w:val="nil"/>
          <w:bottom w:val="nil"/>
          <w:right w:val="nil"/>
          <w:between w:val="nil"/>
        </w:pBdr>
        <w:spacing w:after="0" w:line="240" w:lineRule="auto"/>
        <w:rPr>
          <w:rFonts w:asciiTheme="minorHAnsi" w:eastAsia="Arial" w:hAnsiTheme="minorHAnsi" w:cstheme="minorHAnsi"/>
        </w:rPr>
      </w:pPr>
      <w:r w:rsidRPr="00954C10">
        <w:rPr>
          <w:rFonts w:asciiTheme="minorHAnsi" w:eastAsia="Arial" w:hAnsiTheme="minorHAnsi" w:cstheme="minorHAnsi"/>
        </w:rPr>
        <w:t xml:space="preserve">The maximum </w:t>
      </w:r>
      <w:r w:rsidR="00070A66" w:rsidRPr="00954C10">
        <w:rPr>
          <w:rFonts w:asciiTheme="minorHAnsi" w:eastAsia="Arial" w:hAnsiTheme="minorHAnsi" w:cstheme="minorHAnsi"/>
        </w:rPr>
        <w:t>spread</w:t>
      </w:r>
      <w:r w:rsidRPr="00954C10">
        <w:rPr>
          <w:rFonts w:asciiTheme="minorHAnsi" w:eastAsia="Arial" w:hAnsiTheme="minorHAnsi" w:cstheme="minorHAnsi"/>
        </w:rPr>
        <w:t xml:space="preserve"> width achieved</w:t>
      </w:r>
      <w:r w:rsidR="00F86873" w:rsidRPr="00954C10">
        <w:rPr>
          <w:rFonts w:asciiTheme="minorHAnsi" w:eastAsia="Arial" w:hAnsiTheme="minorHAnsi" w:cstheme="minorHAnsi"/>
        </w:rPr>
        <w:t xml:space="preserve"> (if required)</w:t>
      </w:r>
      <w:r w:rsidR="00E31F8F">
        <w:rPr>
          <w:rFonts w:asciiTheme="minorHAnsi" w:eastAsia="Arial" w:hAnsiTheme="minorHAnsi" w:cstheme="minorHAnsi"/>
        </w:rPr>
        <w:t>.</w:t>
      </w:r>
    </w:p>
    <w:p w14:paraId="681D800A" w14:textId="37636AF9" w:rsidR="00FC0213" w:rsidRPr="00D735F2" w:rsidRDefault="00FC0213" w:rsidP="00FC0213">
      <w:pPr>
        <w:numPr>
          <w:ilvl w:val="0"/>
          <w:numId w:val="2"/>
        </w:numPr>
        <w:pBdr>
          <w:top w:val="nil"/>
          <w:left w:val="nil"/>
          <w:bottom w:val="nil"/>
          <w:right w:val="nil"/>
          <w:between w:val="nil"/>
        </w:pBdr>
        <w:spacing w:after="0" w:line="240" w:lineRule="auto"/>
        <w:rPr>
          <w:rFonts w:asciiTheme="minorHAnsi" w:eastAsia="Arial" w:hAnsiTheme="minorHAnsi" w:cstheme="minorHAnsi"/>
          <w:color w:val="000000"/>
        </w:rPr>
      </w:pPr>
      <w:r w:rsidRPr="00D735F2">
        <w:rPr>
          <w:rFonts w:asciiTheme="minorHAnsi" w:eastAsia="Arial" w:hAnsiTheme="minorHAnsi" w:cstheme="minorHAnsi"/>
          <w:color w:val="000000"/>
        </w:rPr>
        <w:t>A description of the physical characteristics of t</w:t>
      </w:r>
      <w:r w:rsidR="00E15BAE">
        <w:rPr>
          <w:rFonts w:asciiTheme="minorHAnsi" w:eastAsia="Arial" w:hAnsiTheme="minorHAnsi" w:cstheme="minorHAnsi"/>
        </w:rPr>
        <w:t>he product used in the test</w:t>
      </w:r>
      <w:r w:rsidRPr="00D735F2">
        <w:rPr>
          <w:rFonts w:asciiTheme="minorHAnsi" w:eastAsia="Arial" w:hAnsiTheme="minorHAnsi" w:cstheme="minorHAnsi"/>
          <w:color w:val="000000"/>
        </w:rPr>
        <w:t xml:space="preserve"> including product name, bulk density (BD), uniformity index (UI), size guide number (SGN) and a graph of the particle size distribution</w:t>
      </w:r>
      <w:r w:rsidR="004D5BE1">
        <w:rPr>
          <w:rFonts w:asciiTheme="minorHAnsi" w:eastAsia="Arial" w:hAnsiTheme="minorHAnsi" w:cstheme="minorHAnsi"/>
          <w:color w:val="000000"/>
        </w:rPr>
        <w:t>.</w:t>
      </w:r>
      <w:r w:rsidRPr="00D735F2">
        <w:rPr>
          <w:rFonts w:asciiTheme="minorHAnsi" w:eastAsia="Arial" w:hAnsiTheme="minorHAnsi" w:cstheme="minorHAnsi"/>
          <w:color w:val="000000"/>
        </w:rPr>
        <w:t xml:space="preserve"> </w:t>
      </w:r>
    </w:p>
    <w:p w14:paraId="4F70925C" w14:textId="77777777" w:rsidR="00FA4E29" w:rsidRDefault="00FC0213" w:rsidP="00FA4E29">
      <w:pPr>
        <w:numPr>
          <w:ilvl w:val="0"/>
          <w:numId w:val="2"/>
        </w:numPr>
        <w:pBdr>
          <w:top w:val="nil"/>
          <w:left w:val="nil"/>
          <w:bottom w:val="nil"/>
          <w:right w:val="nil"/>
          <w:between w:val="nil"/>
        </w:pBdr>
        <w:spacing w:after="0" w:line="240" w:lineRule="auto"/>
        <w:ind w:left="1071" w:hanging="357"/>
        <w:rPr>
          <w:rFonts w:asciiTheme="minorHAnsi" w:eastAsia="Arial" w:hAnsiTheme="minorHAnsi" w:cstheme="minorHAnsi"/>
          <w:color w:val="000000"/>
        </w:rPr>
      </w:pPr>
      <w:r w:rsidRPr="00D735F2">
        <w:rPr>
          <w:rFonts w:asciiTheme="minorHAnsi" w:eastAsia="Arial" w:hAnsiTheme="minorHAnsi" w:cstheme="minorHAnsi"/>
          <w:color w:val="000000"/>
        </w:rPr>
        <w:t>The date of the test.</w:t>
      </w:r>
    </w:p>
    <w:p w14:paraId="3A279BAA" w14:textId="75B58307" w:rsidR="00E10821" w:rsidRPr="00FA4E29" w:rsidRDefault="003F6E4D" w:rsidP="00FA4E29">
      <w:pPr>
        <w:numPr>
          <w:ilvl w:val="0"/>
          <w:numId w:val="2"/>
        </w:numPr>
        <w:pBdr>
          <w:top w:val="nil"/>
          <w:left w:val="nil"/>
          <w:bottom w:val="nil"/>
          <w:right w:val="nil"/>
          <w:between w:val="nil"/>
        </w:pBdr>
        <w:spacing w:after="0" w:line="240" w:lineRule="auto"/>
        <w:ind w:left="1071" w:hanging="357"/>
        <w:rPr>
          <w:rFonts w:asciiTheme="minorHAnsi" w:eastAsia="Arial" w:hAnsiTheme="minorHAnsi" w:cstheme="minorHAnsi"/>
          <w:color w:val="000000"/>
        </w:rPr>
      </w:pPr>
      <w:r w:rsidRPr="00FA4E29">
        <w:rPr>
          <w:rFonts w:asciiTheme="minorHAnsi" w:eastAsia="Arial" w:hAnsiTheme="minorHAnsi" w:cstheme="minorHAnsi"/>
          <w:color w:val="000000"/>
        </w:rPr>
        <w:t xml:space="preserve">Refer to retesting requirements </w:t>
      </w:r>
      <w:r w:rsidR="00001EBE" w:rsidRPr="00FA4E29">
        <w:rPr>
          <w:rFonts w:asciiTheme="minorHAnsi" w:eastAsia="Arial" w:hAnsiTheme="minorHAnsi" w:cstheme="minorHAnsi"/>
          <w:color w:val="000000"/>
        </w:rPr>
        <w:t xml:space="preserve">for fixed wing aerial </w:t>
      </w:r>
      <w:r w:rsidR="00FA4E29" w:rsidRPr="00FA4E29">
        <w:rPr>
          <w:rFonts w:asciiTheme="minorHAnsi" w:eastAsia="Arial" w:hAnsiTheme="minorHAnsi" w:cstheme="minorHAnsi"/>
          <w:color w:val="000000"/>
        </w:rPr>
        <w:t>spreaders in Section 3.4(f) of the Code of Practice.</w:t>
      </w:r>
    </w:p>
    <w:tbl>
      <w:tblPr>
        <w:tblW w:w="705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5812"/>
      </w:tblGrid>
      <w:tr w:rsidR="00FC0213" w:rsidRPr="00D735F2" w14:paraId="1C9666A2" w14:textId="77777777" w:rsidTr="00DA1D33">
        <w:tc>
          <w:tcPr>
            <w:tcW w:w="1242" w:type="dxa"/>
            <w:tcBorders>
              <w:right w:val="nil"/>
            </w:tcBorders>
            <w:shd w:val="clear" w:color="auto" w:fill="D7E3BC"/>
            <w:vAlign w:val="center"/>
          </w:tcPr>
          <w:p w14:paraId="184B9C16" w14:textId="7FAE787F" w:rsidR="00FC0213" w:rsidRPr="00D735F2" w:rsidRDefault="00FC0213" w:rsidP="00DA1D33">
            <w:pPr>
              <w:spacing w:before="120" w:after="240"/>
              <w:rPr>
                <w:rFonts w:asciiTheme="minorHAnsi" w:eastAsia="Arial" w:hAnsiTheme="minorHAnsi" w:cstheme="minorHAnsi"/>
              </w:rPr>
            </w:pPr>
            <w:r w:rsidRPr="00D735F2">
              <w:rPr>
                <w:rFonts w:asciiTheme="minorHAnsi" w:eastAsia="Arial" w:hAnsiTheme="minorHAnsi" w:cstheme="minorHAnsi"/>
                <w:b/>
              </w:rPr>
              <w:lastRenderedPageBreak/>
              <w:t>NOTE:</w:t>
            </w:r>
          </w:p>
        </w:tc>
        <w:tc>
          <w:tcPr>
            <w:tcW w:w="5812" w:type="dxa"/>
            <w:tcBorders>
              <w:left w:val="nil"/>
            </w:tcBorders>
            <w:shd w:val="clear" w:color="auto" w:fill="D7E3BC"/>
          </w:tcPr>
          <w:p w14:paraId="27AFC146" w14:textId="21D0E3B5" w:rsidR="00FC0213" w:rsidRPr="00D735F2" w:rsidRDefault="00FC0213" w:rsidP="00DA1D33">
            <w:pPr>
              <w:spacing w:before="120" w:after="240"/>
              <w:rPr>
                <w:rFonts w:asciiTheme="minorHAnsi" w:eastAsia="Arial" w:hAnsiTheme="minorHAnsi" w:cstheme="minorHAnsi"/>
              </w:rPr>
            </w:pPr>
            <w:r w:rsidRPr="00D735F2">
              <w:rPr>
                <w:rFonts w:asciiTheme="minorHAnsi" w:eastAsia="Arial" w:hAnsiTheme="minorHAnsi" w:cstheme="minorHAnsi"/>
              </w:rPr>
              <w:t>The Spreadmark Certified Bout Width is the maximum bout width where the CV is 15% or less for nitrogenous nutrients and 25% or less for non-nitrogenous nutrients</w:t>
            </w:r>
            <w:r w:rsidR="00E31F8F">
              <w:rPr>
                <w:rFonts w:asciiTheme="minorHAnsi" w:eastAsia="Arial" w:hAnsiTheme="minorHAnsi" w:cstheme="minorHAnsi"/>
              </w:rPr>
              <w:t>.</w:t>
            </w:r>
          </w:p>
        </w:tc>
      </w:tr>
    </w:tbl>
    <w:p w14:paraId="5B73629F" w14:textId="7508FA60" w:rsidR="003437E6" w:rsidRPr="0071652E" w:rsidRDefault="003437E6">
      <w:pPr>
        <w:spacing w:after="160" w:line="259" w:lineRule="auto"/>
        <w:rPr>
          <w:rFonts w:asciiTheme="minorHAnsi" w:hAnsiTheme="minorHAnsi" w:cstheme="minorHAnsi"/>
          <w:b/>
          <w:bCs/>
          <w:sz w:val="24"/>
          <w:szCs w:val="24"/>
        </w:rPr>
      </w:pPr>
    </w:p>
    <w:sectPr w:rsidR="003437E6" w:rsidRPr="0071652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2CB0" w14:textId="77777777" w:rsidR="0042690A" w:rsidRDefault="0042690A" w:rsidP="006E0C55">
      <w:pPr>
        <w:spacing w:after="0" w:line="240" w:lineRule="auto"/>
      </w:pPr>
      <w:r>
        <w:separator/>
      </w:r>
    </w:p>
  </w:endnote>
  <w:endnote w:type="continuationSeparator" w:id="0">
    <w:p w14:paraId="7FC61EF5" w14:textId="77777777" w:rsidR="0042690A" w:rsidRDefault="0042690A" w:rsidP="006E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366590"/>
      <w:docPartObj>
        <w:docPartGallery w:val="Page Numbers (Bottom of Page)"/>
        <w:docPartUnique/>
      </w:docPartObj>
    </w:sdtPr>
    <w:sdtEndPr>
      <w:rPr>
        <w:noProof/>
      </w:rPr>
    </w:sdtEndPr>
    <w:sdtContent>
      <w:p w14:paraId="62A615CC" w14:textId="3B464418" w:rsidR="00DA2516" w:rsidRDefault="00DA25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6F5BB" w14:textId="5F355356" w:rsidR="00333599" w:rsidRDefault="00F2092A" w:rsidP="00333599">
    <w:pPr>
      <w:pStyle w:val="Footer"/>
      <w:jc w:val="center"/>
    </w:pPr>
    <w:r>
      <w:t xml:space="preserve">Spread </w:t>
    </w:r>
    <w:r w:rsidR="00950203">
      <w:t>P</w:t>
    </w:r>
    <w:r>
      <w:t xml:space="preserve">attern Testing and Certification for </w:t>
    </w:r>
    <w:r w:rsidR="005359BB">
      <w:t xml:space="preserve">Fixed Wing </w:t>
    </w:r>
    <w:r>
      <w:t xml:space="preserve">Aerial Application of </w:t>
    </w:r>
    <w:r w:rsidR="00893A1F">
      <w:t xml:space="preserve">Solid </w:t>
    </w:r>
    <w:r>
      <w:t>Nutrients</w:t>
    </w:r>
  </w:p>
  <w:p w14:paraId="230EF897" w14:textId="1885ADF3" w:rsidR="006E0C55" w:rsidRDefault="00053A3B" w:rsidP="00333599">
    <w:pPr>
      <w:pStyle w:val="Footer"/>
      <w:jc w:val="center"/>
    </w:pPr>
    <w:r>
      <w:t>29 June</w:t>
    </w:r>
    <w:r w:rsidR="00F2092A">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87EF4" w14:textId="77777777" w:rsidR="0042690A" w:rsidRDefault="0042690A" w:rsidP="006E0C55">
      <w:pPr>
        <w:spacing w:after="0" w:line="240" w:lineRule="auto"/>
      </w:pPr>
      <w:r>
        <w:separator/>
      </w:r>
    </w:p>
  </w:footnote>
  <w:footnote w:type="continuationSeparator" w:id="0">
    <w:p w14:paraId="4467DE11" w14:textId="77777777" w:rsidR="0042690A" w:rsidRDefault="0042690A" w:rsidP="006E0C55">
      <w:pPr>
        <w:spacing w:after="0" w:line="240" w:lineRule="auto"/>
      </w:pPr>
      <w:r>
        <w:continuationSeparator/>
      </w:r>
    </w:p>
  </w:footnote>
  <w:footnote w:id="1">
    <w:p w14:paraId="39583B91" w14:textId="4ED0601C" w:rsidR="00B345FE" w:rsidRDefault="00B345FE">
      <w:pPr>
        <w:pStyle w:val="FootnoteText"/>
      </w:pPr>
      <w:r>
        <w:rPr>
          <w:rStyle w:val="FootnoteReference"/>
        </w:rPr>
        <w:footnoteRef/>
      </w:r>
      <w:r>
        <w:t xml:space="preserve"> </w:t>
      </w:r>
      <w:r w:rsidR="00EC55E4" w:rsidRPr="00260134">
        <w:rPr>
          <w:sz w:val="18"/>
          <w:szCs w:val="18"/>
        </w:rPr>
        <w:t xml:space="preserve">Note that for </w:t>
      </w:r>
      <w:r w:rsidR="00DD492E" w:rsidRPr="00260134">
        <w:rPr>
          <w:sz w:val="18"/>
          <w:szCs w:val="18"/>
        </w:rPr>
        <w:t>cross winds, the collectors at each end of the line shall be empty.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D9C"/>
    <w:multiLevelType w:val="multilevel"/>
    <w:tmpl w:val="2D1A8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7C40CD"/>
    <w:multiLevelType w:val="multilevel"/>
    <w:tmpl w:val="83D60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335A6"/>
    <w:multiLevelType w:val="multilevel"/>
    <w:tmpl w:val="BAAE263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 w15:restartNumberingAfterBreak="0">
    <w:nsid w:val="126B439D"/>
    <w:multiLevelType w:val="multilevel"/>
    <w:tmpl w:val="228A609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7348F"/>
    <w:multiLevelType w:val="multilevel"/>
    <w:tmpl w:val="3DB83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FE2343"/>
    <w:multiLevelType w:val="multilevel"/>
    <w:tmpl w:val="11CC0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3C5905"/>
    <w:multiLevelType w:val="multilevel"/>
    <w:tmpl w:val="C8B697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6CD20BD"/>
    <w:multiLevelType w:val="hybridMultilevel"/>
    <w:tmpl w:val="12FA7EB0"/>
    <w:lvl w:ilvl="0" w:tplc="1409000F">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E4E704E"/>
    <w:multiLevelType w:val="hybridMultilevel"/>
    <w:tmpl w:val="3F4807F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4382204C"/>
    <w:multiLevelType w:val="hybridMultilevel"/>
    <w:tmpl w:val="CBE8FF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54538E8"/>
    <w:multiLevelType w:val="multilevel"/>
    <w:tmpl w:val="C44E6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4E2292"/>
    <w:multiLevelType w:val="hybridMultilevel"/>
    <w:tmpl w:val="D2267BA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54CA23A6"/>
    <w:multiLevelType w:val="multilevel"/>
    <w:tmpl w:val="B0924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29079C"/>
    <w:multiLevelType w:val="multilevel"/>
    <w:tmpl w:val="3AE4C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8D05B9"/>
    <w:multiLevelType w:val="multilevel"/>
    <w:tmpl w:val="8E3AF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FE52AE1"/>
    <w:multiLevelType w:val="multilevel"/>
    <w:tmpl w:val="568E0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BE4F1D"/>
    <w:multiLevelType w:val="multilevel"/>
    <w:tmpl w:val="B252A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345553"/>
    <w:multiLevelType w:val="multilevel"/>
    <w:tmpl w:val="1F9C1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7A22EF"/>
    <w:multiLevelType w:val="hybridMultilevel"/>
    <w:tmpl w:val="B29ECD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727375A6"/>
    <w:multiLevelType w:val="hybridMultilevel"/>
    <w:tmpl w:val="89E8F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273254">
    <w:abstractNumId w:val="1"/>
  </w:num>
  <w:num w:numId="2" w16cid:durableId="310594869">
    <w:abstractNumId w:val="2"/>
  </w:num>
  <w:num w:numId="3" w16cid:durableId="114256895">
    <w:abstractNumId w:val="14"/>
  </w:num>
  <w:num w:numId="4" w16cid:durableId="565261119">
    <w:abstractNumId w:val="6"/>
  </w:num>
  <w:num w:numId="5" w16cid:durableId="474640630">
    <w:abstractNumId w:val="16"/>
  </w:num>
  <w:num w:numId="6" w16cid:durableId="1986927268">
    <w:abstractNumId w:val="10"/>
  </w:num>
  <w:num w:numId="7" w16cid:durableId="1989170531">
    <w:abstractNumId w:val="13"/>
  </w:num>
  <w:num w:numId="8" w16cid:durableId="1746148147">
    <w:abstractNumId w:val="5"/>
  </w:num>
  <w:num w:numId="9" w16cid:durableId="1156994655">
    <w:abstractNumId w:val="17"/>
  </w:num>
  <w:num w:numId="10" w16cid:durableId="462120247">
    <w:abstractNumId w:val="4"/>
  </w:num>
  <w:num w:numId="11" w16cid:durableId="711543523">
    <w:abstractNumId w:val="15"/>
  </w:num>
  <w:num w:numId="12" w16cid:durableId="1353143369">
    <w:abstractNumId w:val="3"/>
  </w:num>
  <w:num w:numId="13" w16cid:durableId="749885214">
    <w:abstractNumId w:val="0"/>
  </w:num>
  <w:num w:numId="14" w16cid:durableId="85662955">
    <w:abstractNumId w:val="12"/>
  </w:num>
  <w:num w:numId="15" w16cid:durableId="85342691">
    <w:abstractNumId w:val="9"/>
  </w:num>
  <w:num w:numId="16" w16cid:durableId="2007439181">
    <w:abstractNumId w:val="7"/>
  </w:num>
  <w:num w:numId="17" w16cid:durableId="1454710036">
    <w:abstractNumId w:val="8"/>
  </w:num>
  <w:num w:numId="18" w16cid:durableId="891113363">
    <w:abstractNumId w:val="18"/>
  </w:num>
  <w:num w:numId="19" w16cid:durableId="208734806">
    <w:abstractNumId w:val="11"/>
  </w:num>
  <w:num w:numId="20" w16cid:durableId="3645998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13"/>
    <w:rsid w:val="00001B4A"/>
    <w:rsid w:val="00001EBE"/>
    <w:rsid w:val="00030501"/>
    <w:rsid w:val="00031AB2"/>
    <w:rsid w:val="00053A3B"/>
    <w:rsid w:val="000552D7"/>
    <w:rsid w:val="000617C1"/>
    <w:rsid w:val="00062B04"/>
    <w:rsid w:val="00070A66"/>
    <w:rsid w:val="00070B5B"/>
    <w:rsid w:val="0007459F"/>
    <w:rsid w:val="00083E08"/>
    <w:rsid w:val="000B0C24"/>
    <w:rsid w:val="000D0623"/>
    <w:rsid w:val="000D1F74"/>
    <w:rsid w:val="000D3B98"/>
    <w:rsid w:val="00115429"/>
    <w:rsid w:val="001271D2"/>
    <w:rsid w:val="00134C77"/>
    <w:rsid w:val="001425BB"/>
    <w:rsid w:val="00160903"/>
    <w:rsid w:val="0016302F"/>
    <w:rsid w:val="001822EC"/>
    <w:rsid w:val="001852FB"/>
    <w:rsid w:val="001A23CC"/>
    <w:rsid w:val="001A2F68"/>
    <w:rsid w:val="001A3BDB"/>
    <w:rsid w:val="001B3745"/>
    <w:rsid w:val="001B5AFF"/>
    <w:rsid w:val="001B7B50"/>
    <w:rsid w:val="001C3D7D"/>
    <w:rsid w:val="001D4DAB"/>
    <w:rsid w:val="001D6453"/>
    <w:rsid w:val="001E03CB"/>
    <w:rsid w:val="001E271C"/>
    <w:rsid w:val="001F69EA"/>
    <w:rsid w:val="002046C4"/>
    <w:rsid w:val="00216B07"/>
    <w:rsid w:val="00217039"/>
    <w:rsid w:val="00226E2B"/>
    <w:rsid w:val="00234C1C"/>
    <w:rsid w:val="00244ED1"/>
    <w:rsid w:val="0024548A"/>
    <w:rsid w:val="00257AEB"/>
    <w:rsid w:val="00260134"/>
    <w:rsid w:val="002615C1"/>
    <w:rsid w:val="00267A2A"/>
    <w:rsid w:val="00284135"/>
    <w:rsid w:val="002A141D"/>
    <w:rsid w:val="002A15A8"/>
    <w:rsid w:val="002B462E"/>
    <w:rsid w:val="002C14E8"/>
    <w:rsid w:val="002C4807"/>
    <w:rsid w:val="002E0DD1"/>
    <w:rsid w:val="002E5EA0"/>
    <w:rsid w:val="002F15CD"/>
    <w:rsid w:val="003028C4"/>
    <w:rsid w:val="00303488"/>
    <w:rsid w:val="003217F6"/>
    <w:rsid w:val="003263DC"/>
    <w:rsid w:val="00333599"/>
    <w:rsid w:val="003437E6"/>
    <w:rsid w:val="00343E31"/>
    <w:rsid w:val="00343FEA"/>
    <w:rsid w:val="00353EC6"/>
    <w:rsid w:val="00357904"/>
    <w:rsid w:val="00363AB3"/>
    <w:rsid w:val="00363B11"/>
    <w:rsid w:val="00370F4F"/>
    <w:rsid w:val="0038159A"/>
    <w:rsid w:val="0038612D"/>
    <w:rsid w:val="003908F5"/>
    <w:rsid w:val="00394B3B"/>
    <w:rsid w:val="003A069A"/>
    <w:rsid w:val="003A790E"/>
    <w:rsid w:val="003B40FC"/>
    <w:rsid w:val="003B51F4"/>
    <w:rsid w:val="003C62FF"/>
    <w:rsid w:val="003E5E99"/>
    <w:rsid w:val="003F3118"/>
    <w:rsid w:val="003F6E4D"/>
    <w:rsid w:val="004001BF"/>
    <w:rsid w:val="00403D61"/>
    <w:rsid w:val="00406A48"/>
    <w:rsid w:val="00412E51"/>
    <w:rsid w:val="004241A9"/>
    <w:rsid w:val="0042690A"/>
    <w:rsid w:val="00432843"/>
    <w:rsid w:val="00440470"/>
    <w:rsid w:val="00443BEF"/>
    <w:rsid w:val="00453F6D"/>
    <w:rsid w:val="004723DA"/>
    <w:rsid w:val="00472785"/>
    <w:rsid w:val="00480370"/>
    <w:rsid w:val="00484D52"/>
    <w:rsid w:val="004860C1"/>
    <w:rsid w:val="0049282B"/>
    <w:rsid w:val="00496661"/>
    <w:rsid w:val="004C33B8"/>
    <w:rsid w:val="004D37C5"/>
    <w:rsid w:val="004D5BE1"/>
    <w:rsid w:val="004E0DB8"/>
    <w:rsid w:val="004E5937"/>
    <w:rsid w:val="004F2917"/>
    <w:rsid w:val="005126F8"/>
    <w:rsid w:val="00533335"/>
    <w:rsid w:val="005359BB"/>
    <w:rsid w:val="00535C1E"/>
    <w:rsid w:val="005522C7"/>
    <w:rsid w:val="005529B9"/>
    <w:rsid w:val="0056140F"/>
    <w:rsid w:val="00570920"/>
    <w:rsid w:val="0057512B"/>
    <w:rsid w:val="00580DF9"/>
    <w:rsid w:val="00595F1D"/>
    <w:rsid w:val="005A2671"/>
    <w:rsid w:val="005A2A07"/>
    <w:rsid w:val="005B51A4"/>
    <w:rsid w:val="005C66D6"/>
    <w:rsid w:val="005D6A25"/>
    <w:rsid w:val="005D6F0F"/>
    <w:rsid w:val="005F1B57"/>
    <w:rsid w:val="0060134E"/>
    <w:rsid w:val="0060684D"/>
    <w:rsid w:val="00607B2B"/>
    <w:rsid w:val="006124E9"/>
    <w:rsid w:val="006158FB"/>
    <w:rsid w:val="006378A1"/>
    <w:rsid w:val="00640414"/>
    <w:rsid w:val="00646335"/>
    <w:rsid w:val="00665CD6"/>
    <w:rsid w:val="00666055"/>
    <w:rsid w:val="00675F2A"/>
    <w:rsid w:val="006837CC"/>
    <w:rsid w:val="00684B89"/>
    <w:rsid w:val="006A4021"/>
    <w:rsid w:val="006B57F3"/>
    <w:rsid w:val="006D0E7D"/>
    <w:rsid w:val="006E0C55"/>
    <w:rsid w:val="006E15B9"/>
    <w:rsid w:val="006E5877"/>
    <w:rsid w:val="006F7B6A"/>
    <w:rsid w:val="0071652E"/>
    <w:rsid w:val="00717AE1"/>
    <w:rsid w:val="00740DB1"/>
    <w:rsid w:val="007652AA"/>
    <w:rsid w:val="0078788F"/>
    <w:rsid w:val="007A46F7"/>
    <w:rsid w:val="007A6C2C"/>
    <w:rsid w:val="007C1A2E"/>
    <w:rsid w:val="00805314"/>
    <w:rsid w:val="008053E7"/>
    <w:rsid w:val="00810A47"/>
    <w:rsid w:val="00811C82"/>
    <w:rsid w:val="00813F85"/>
    <w:rsid w:val="008229D6"/>
    <w:rsid w:val="00827660"/>
    <w:rsid w:val="008446CE"/>
    <w:rsid w:val="00846244"/>
    <w:rsid w:val="00860167"/>
    <w:rsid w:val="00864871"/>
    <w:rsid w:val="00883A24"/>
    <w:rsid w:val="00886357"/>
    <w:rsid w:val="00893A1F"/>
    <w:rsid w:val="008B0BD1"/>
    <w:rsid w:val="008B5860"/>
    <w:rsid w:val="008C6DB6"/>
    <w:rsid w:val="008E064B"/>
    <w:rsid w:val="009055A5"/>
    <w:rsid w:val="00906789"/>
    <w:rsid w:val="00907E8F"/>
    <w:rsid w:val="009139B0"/>
    <w:rsid w:val="0092096F"/>
    <w:rsid w:val="00930537"/>
    <w:rsid w:val="00941688"/>
    <w:rsid w:val="00944DB9"/>
    <w:rsid w:val="00950203"/>
    <w:rsid w:val="00954C10"/>
    <w:rsid w:val="00955E55"/>
    <w:rsid w:val="00962501"/>
    <w:rsid w:val="0096271B"/>
    <w:rsid w:val="00963EE6"/>
    <w:rsid w:val="00973BB8"/>
    <w:rsid w:val="00975DA8"/>
    <w:rsid w:val="00980181"/>
    <w:rsid w:val="009B2CA8"/>
    <w:rsid w:val="009B4C25"/>
    <w:rsid w:val="009C6EE6"/>
    <w:rsid w:val="009D130C"/>
    <w:rsid w:val="009D2CF6"/>
    <w:rsid w:val="009D7A02"/>
    <w:rsid w:val="009D7CB5"/>
    <w:rsid w:val="00A1253D"/>
    <w:rsid w:val="00A1397C"/>
    <w:rsid w:val="00A26C41"/>
    <w:rsid w:val="00A33B58"/>
    <w:rsid w:val="00A34CA9"/>
    <w:rsid w:val="00A378E3"/>
    <w:rsid w:val="00A43A9B"/>
    <w:rsid w:val="00A44C30"/>
    <w:rsid w:val="00A62578"/>
    <w:rsid w:val="00A76BDF"/>
    <w:rsid w:val="00A77583"/>
    <w:rsid w:val="00AA30F4"/>
    <w:rsid w:val="00AA62A7"/>
    <w:rsid w:val="00AD0BF6"/>
    <w:rsid w:val="00AE20BC"/>
    <w:rsid w:val="00AF37B3"/>
    <w:rsid w:val="00B00440"/>
    <w:rsid w:val="00B06DA6"/>
    <w:rsid w:val="00B177F3"/>
    <w:rsid w:val="00B345FE"/>
    <w:rsid w:val="00B35F80"/>
    <w:rsid w:val="00B56B2A"/>
    <w:rsid w:val="00B708CB"/>
    <w:rsid w:val="00B77FF6"/>
    <w:rsid w:val="00B84E94"/>
    <w:rsid w:val="00B938AB"/>
    <w:rsid w:val="00BA02F9"/>
    <w:rsid w:val="00BA1688"/>
    <w:rsid w:val="00BC31DD"/>
    <w:rsid w:val="00BC4164"/>
    <w:rsid w:val="00BC5659"/>
    <w:rsid w:val="00BC64D3"/>
    <w:rsid w:val="00BC7C62"/>
    <w:rsid w:val="00C04315"/>
    <w:rsid w:val="00C07ECE"/>
    <w:rsid w:val="00C106D7"/>
    <w:rsid w:val="00C25530"/>
    <w:rsid w:val="00C33B6B"/>
    <w:rsid w:val="00C44B68"/>
    <w:rsid w:val="00C52384"/>
    <w:rsid w:val="00C555DD"/>
    <w:rsid w:val="00C7659A"/>
    <w:rsid w:val="00C81C36"/>
    <w:rsid w:val="00C923DD"/>
    <w:rsid w:val="00CA2862"/>
    <w:rsid w:val="00D0690B"/>
    <w:rsid w:val="00D37298"/>
    <w:rsid w:val="00D45DCF"/>
    <w:rsid w:val="00D474F1"/>
    <w:rsid w:val="00D54D99"/>
    <w:rsid w:val="00D64D84"/>
    <w:rsid w:val="00D735F2"/>
    <w:rsid w:val="00D75CD8"/>
    <w:rsid w:val="00DA2516"/>
    <w:rsid w:val="00DB070A"/>
    <w:rsid w:val="00DD492E"/>
    <w:rsid w:val="00E000DF"/>
    <w:rsid w:val="00E10821"/>
    <w:rsid w:val="00E108A9"/>
    <w:rsid w:val="00E13008"/>
    <w:rsid w:val="00E155B8"/>
    <w:rsid w:val="00E15BAE"/>
    <w:rsid w:val="00E16DBC"/>
    <w:rsid w:val="00E2353A"/>
    <w:rsid w:val="00E24F07"/>
    <w:rsid w:val="00E31700"/>
    <w:rsid w:val="00E31F8F"/>
    <w:rsid w:val="00E32B0E"/>
    <w:rsid w:val="00E73B8F"/>
    <w:rsid w:val="00E75B16"/>
    <w:rsid w:val="00E90E6A"/>
    <w:rsid w:val="00E927A0"/>
    <w:rsid w:val="00EA270A"/>
    <w:rsid w:val="00EA654F"/>
    <w:rsid w:val="00EB3878"/>
    <w:rsid w:val="00EB3E00"/>
    <w:rsid w:val="00EB7CB9"/>
    <w:rsid w:val="00EC1798"/>
    <w:rsid w:val="00EC55E4"/>
    <w:rsid w:val="00ED0FCD"/>
    <w:rsid w:val="00ED40F1"/>
    <w:rsid w:val="00EF355A"/>
    <w:rsid w:val="00F009F9"/>
    <w:rsid w:val="00F20226"/>
    <w:rsid w:val="00F204CB"/>
    <w:rsid w:val="00F2092A"/>
    <w:rsid w:val="00F331AF"/>
    <w:rsid w:val="00F53071"/>
    <w:rsid w:val="00F5419E"/>
    <w:rsid w:val="00F552B3"/>
    <w:rsid w:val="00F80EC8"/>
    <w:rsid w:val="00F81655"/>
    <w:rsid w:val="00F86873"/>
    <w:rsid w:val="00F90AD2"/>
    <w:rsid w:val="00FA4E29"/>
    <w:rsid w:val="00FB3DEE"/>
    <w:rsid w:val="00FC0213"/>
    <w:rsid w:val="00FE11A0"/>
    <w:rsid w:val="00FE79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8929"/>
  <w15:chartTrackingRefBased/>
  <w15:docId w15:val="{48E8BB20-F546-458F-8DF9-679552E2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13"/>
    <w:pPr>
      <w:spacing w:after="200" w:line="276" w:lineRule="auto"/>
    </w:pPr>
    <w:rPr>
      <w:rFonts w:ascii="Calibri" w:eastAsia="Calibri" w:hAnsi="Calibri" w:cs="Calibri"/>
      <w:kern w:val="0"/>
      <w:lang w:eastAsia="en-NZ"/>
      <w14:ligatures w14:val="none"/>
    </w:rPr>
  </w:style>
  <w:style w:type="paragraph" w:styleId="Heading2">
    <w:name w:val="heading 2"/>
    <w:basedOn w:val="Normal"/>
    <w:next w:val="Normal"/>
    <w:link w:val="Heading2Char"/>
    <w:uiPriority w:val="9"/>
    <w:semiHidden/>
    <w:unhideWhenUsed/>
    <w:qFormat/>
    <w:rsid w:val="009B4C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0213"/>
    <w:pPr>
      <w:keepNext/>
      <w:spacing w:before="120" w:after="240"/>
      <w:ind w:left="851"/>
      <w:outlineLvl w:val="2"/>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0213"/>
    <w:rPr>
      <w:rFonts w:ascii="Arial" w:eastAsia="Arial" w:hAnsi="Arial" w:cs="Arial"/>
      <w:b/>
      <w:kern w:val="0"/>
      <w:sz w:val="36"/>
      <w:szCs w:val="36"/>
      <w:lang w:eastAsia="en-NZ"/>
      <w14:ligatures w14:val="none"/>
    </w:rPr>
  </w:style>
  <w:style w:type="character" w:styleId="CommentReference">
    <w:name w:val="annotation reference"/>
    <w:basedOn w:val="DefaultParagraphFont"/>
    <w:uiPriority w:val="99"/>
    <w:semiHidden/>
    <w:unhideWhenUsed/>
    <w:rsid w:val="00F552B3"/>
    <w:rPr>
      <w:sz w:val="16"/>
      <w:szCs w:val="16"/>
    </w:rPr>
  </w:style>
  <w:style w:type="paragraph" w:styleId="CommentText">
    <w:name w:val="annotation text"/>
    <w:basedOn w:val="Normal"/>
    <w:link w:val="CommentTextChar"/>
    <w:uiPriority w:val="99"/>
    <w:unhideWhenUsed/>
    <w:rsid w:val="00F552B3"/>
    <w:pPr>
      <w:spacing w:line="240" w:lineRule="auto"/>
    </w:pPr>
    <w:rPr>
      <w:sz w:val="20"/>
      <w:szCs w:val="20"/>
    </w:rPr>
  </w:style>
  <w:style w:type="character" w:customStyle="1" w:styleId="CommentTextChar">
    <w:name w:val="Comment Text Char"/>
    <w:basedOn w:val="DefaultParagraphFont"/>
    <w:link w:val="CommentText"/>
    <w:uiPriority w:val="99"/>
    <w:rsid w:val="00F552B3"/>
    <w:rPr>
      <w:rFonts w:ascii="Calibri" w:eastAsia="Calibri" w:hAnsi="Calibri" w:cs="Calibri"/>
      <w:kern w:val="0"/>
      <w:sz w:val="20"/>
      <w:szCs w:val="20"/>
      <w:lang w:eastAsia="en-NZ"/>
      <w14:ligatures w14:val="none"/>
    </w:rPr>
  </w:style>
  <w:style w:type="paragraph" w:styleId="CommentSubject">
    <w:name w:val="annotation subject"/>
    <w:basedOn w:val="CommentText"/>
    <w:next w:val="CommentText"/>
    <w:link w:val="CommentSubjectChar"/>
    <w:uiPriority w:val="99"/>
    <w:semiHidden/>
    <w:unhideWhenUsed/>
    <w:rsid w:val="00F552B3"/>
    <w:rPr>
      <w:b/>
      <w:bCs/>
    </w:rPr>
  </w:style>
  <w:style w:type="character" w:customStyle="1" w:styleId="CommentSubjectChar">
    <w:name w:val="Comment Subject Char"/>
    <w:basedOn w:val="CommentTextChar"/>
    <w:link w:val="CommentSubject"/>
    <w:uiPriority w:val="99"/>
    <w:semiHidden/>
    <w:rsid w:val="00F552B3"/>
    <w:rPr>
      <w:rFonts w:ascii="Calibri" w:eastAsia="Calibri" w:hAnsi="Calibri" w:cs="Calibri"/>
      <w:b/>
      <w:bCs/>
      <w:kern w:val="0"/>
      <w:sz w:val="20"/>
      <w:szCs w:val="20"/>
      <w:lang w:eastAsia="en-NZ"/>
      <w14:ligatures w14:val="none"/>
    </w:rPr>
  </w:style>
  <w:style w:type="paragraph" w:styleId="Revision">
    <w:name w:val="Revision"/>
    <w:hidden/>
    <w:uiPriority w:val="99"/>
    <w:semiHidden/>
    <w:rsid w:val="00E000DF"/>
    <w:pPr>
      <w:spacing w:after="0" w:line="240" w:lineRule="auto"/>
    </w:pPr>
    <w:rPr>
      <w:rFonts w:ascii="Calibri" w:eastAsia="Calibri" w:hAnsi="Calibri" w:cs="Calibri"/>
      <w:kern w:val="0"/>
      <w:lang w:eastAsia="en-NZ"/>
      <w14:ligatures w14:val="none"/>
    </w:rPr>
  </w:style>
  <w:style w:type="character" w:customStyle="1" w:styleId="Heading2Char">
    <w:name w:val="Heading 2 Char"/>
    <w:basedOn w:val="DefaultParagraphFont"/>
    <w:link w:val="Heading2"/>
    <w:uiPriority w:val="9"/>
    <w:semiHidden/>
    <w:rsid w:val="009B4C25"/>
    <w:rPr>
      <w:rFonts w:asciiTheme="majorHAnsi" w:eastAsiaTheme="majorEastAsia" w:hAnsiTheme="majorHAnsi" w:cstheme="majorBidi"/>
      <w:color w:val="2F5496" w:themeColor="accent1" w:themeShade="BF"/>
      <w:kern w:val="0"/>
      <w:sz w:val="26"/>
      <w:szCs w:val="26"/>
      <w:lang w:eastAsia="en-NZ"/>
      <w14:ligatures w14:val="none"/>
    </w:rPr>
  </w:style>
  <w:style w:type="paragraph" w:styleId="Header">
    <w:name w:val="header"/>
    <w:basedOn w:val="Normal"/>
    <w:link w:val="HeaderChar"/>
    <w:uiPriority w:val="99"/>
    <w:unhideWhenUsed/>
    <w:rsid w:val="006E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C55"/>
    <w:rPr>
      <w:rFonts w:ascii="Calibri" w:eastAsia="Calibri" w:hAnsi="Calibri" w:cs="Calibri"/>
      <w:kern w:val="0"/>
      <w:lang w:eastAsia="en-NZ"/>
      <w14:ligatures w14:val="none"/>
    </w:rPr>
  </w:style>
  <w:style w:type="paragraph" w:styleId="Footer">
    <w:name w:val="footer"/>
    <w:basedOn w:val="Normal"/>
    <w:link w:val="FooterChar"/>
    <w:uiPriority w:val="99"/>
    <w:unhideWhenUsed/>
    <w:rsid w:val="006E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C55"/>
    <w:rPr>
      <w:rFonts w:ascii="Calibri" w:eastAsia="Calibri" w:hAnsi="Calibri" w:cs="Calibri"/>
      <w:kern w:val="0"/>
      <w:lang w:eastAsia="en-NZ"/>
      <w14:ligatures w14:val="none"/>
    </w:rPr>
  </w:style>
  <w:style w:type="paragraph" w:styleId="FootnoteText">
    <w:name w:val="footnote text"/>
    <w:basedOn w:val="Normal"/>
    <w:link w:val="FootnoteTextChar"/>
    <w:uiPriority w:val="99"/>
    <w:semiHidden/>
    <w:unhideWhenUsed/>
    <w:rsid w:val="00B34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5FE"/>
    <w:rPr>
      <w:rFonts w:ascii="Calibri" w:eastAsia="Calibri" w:hAnsi="Calibri" w:cs="Calibri"/>
      <w:kern w:val="0"/>
      <w:sz w:val="20"/>
      <w:szCs w:val="20"/>
      <w:lang w:eastAsia="en-NZ"/>
      <w14:ligatures w14:val="none"/>
    </w:rPr>
  </w:style>
  <w:style w:type="character" w:styleId="FootnoteReference">
    <w:name w:val="footnote reference"/>
    <w:basedOn w:val="DefaultParagraphFont"/>
    <w:uiPriority w:val="99"/>
    <w:semiHidden/>
    <w:unhideWhenUsed/>
    <w:rsid w:val="00B345FE"/>
    <w:rPr>
      <w:vertAlign w:val="superscript"/>
    </w:rPr>
  </w:style>
  <w:style w:type="paragraph" w:styleId="ListParagraph">
    <w:name w:val="List Paragraph"/>
    <w:basedOn w:val="Normal"/>
    <w:uiPriority w:val="34"/>
    <w:qFormat/>
    <w:rsid w:val="005F1B57"/>
    <w:pPr>
      <w:ind w:left="720"/>
      <w:contextualSpacing/>
    </w:pPr>
  </w:style>
  <w:style w:type="character" w:styleId="Hyperlink">
    <w:name w:val="Hyperlink"/>
    <w:basedOn w:val="DefaultParagraphFont"/>
    <w:uiPriority w:val="99"/>
    <w:unhideWhenUsed/>
    <w:rsid w:val="00EB3878"/>
    <w:rPr>
      <w:color w:val="0563C1" w:themeColor="hyperlink"/>
      <w:u w:val="single"/>
    </w:rPr>
  </w:style>
  <w:style w:type="character" w:styleId="UnresolvedMention">
    <w:name w:val="Unresolved Mention"/>
    <w:basedOn w:val="DefaultParagraphFont"/>
    <w:uiPriority w:val="99"/>
    <w:semiHidden/>
    <w:unhideWhenUsed/>
    <w:rsid w:val="00EB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ertqual.co.nz/spread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rtqual.co.nz/resour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528131765F6545973BDCF3AC8C42A5" ma:contentTypeVersion="18" ma:contentTypeDescription="Create a new document." ma:contentTypeScope="" ma:versionID="706d261599d2126e8c236bd95f836830">
  <xsd:schema xmlns:xsd="http://www.w3.org/2001/XMLSchema" xmlns:xs="http://www.w3.org/2001/XMLSchema" xmlns:p="http://schemas.microsoft.com/office/2006/metadata/properties" xmlns:ns2="343c5b23-d0be-49e5-b89b-ccb1dc4f6069" xmlns:ns3="87ca9139-3b0a-4ac8-9142-1846b4fe7204" targetNamespace="http://schemas.microsoft.com/office/2006/metadata/properties" ma:root="true" ma:fieldsID="5c6a9ab6cefc87d18d160de233a0f017" ns2:_="" ns3:_="">
    <xsd:import namespace="343c5b23-d0be-49e5-b89b-ccb1dc4f6069"/>
    <xsd:import namespace="87ca9139-3b0a-4ac8-9142-1846b4fe720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c5b23-d0be-49e5-b89b-ccb1dc4f606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088a8-313d-4ffc-99d3-94987a022b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a9139-3b0a-4ac8-9142-1846b4fe72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af2add-a973-40ee-b9bb-4ae4708f26d5}" ma:internalName="TaxCatchAll" ma:showField="CatchAllData" ma:web="87ca9139-3b0a-4ac8-9142-1846b4fe7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50B4E-02C7-4DB0-BCD1-7BDD35BA9F02}">
  <ds:schemaRefs>
    <ds:schemaRef ds:uri="http://schemas.microsoft.com/sharepoint/v3/contenttype/forms"/>
  </ds:schemaRefs>
</ds:datastoreItem>
</file>

<file path=customXml/itemProps2.xml><?xml version="1.0" encoding="utf-8"?>
<ds:datastoreItem xmlns:ds="http://schemas.openxmlformats.org/officeDocument/2006/customXml" ds:itemID="{D3DCBED0-91A5-4287-BAC0-364B988247F7}">
  <ds:schemaRefs>
    <ds:schemaRef ds:uri="http://schemas.openxmlformats.org/officeDocument/2006/bibliography"/>
  </ds:schemaRefs>
</ds:datastoreItem>
</file>

<file path=customXml/itemProps3.xml><?xml version="1.0" encoding="utf-8"?>
<ds:datastoreItem xmlns:ds="http://schemas.openxmlformats.org/officeDocument/2006/customXml" ds:itemID="{49D9051E-106E-470F-B1EF-35C44BB7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c5b23-d0be-49e5-b89b-ccb1dc4f6069"/>
    <ds:schemaRef ds:uri="87ca9139-3b0a-4ac8-9142-1846b4fe7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Fietje</dc:creator>
  <cp:keywords/>
  <dc:description/>
  <cp:lastModifiedBy>Leo Fietje</cp:lastModifiedBy>
  <cp:revision>16</cp:revision>
  <dcterms:created xsi:type="dcterms:W3CDTF">2024-06-29T02:21:00Z</dcterms:created>
  <dcterms:modified xsi:type="dcterms:W3CDTF">2024-07-01T00:22:00Z</dcterms:modified>
</cp:coreProperties>
</file>