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1ADF4" w14:textId="77777777" w:rsidR="00FE5977" w:rsidRPr="00EC325E" w:rsidRDefault="00FE5977" w:rsidP="00FE5977">
      <w:pPr>
        <w:spacing w:after="600" w:line="276" w:lineRule="auto"/>
        <w:jc w:val="center"/>
        <w:rPr>
          <w:rFonts w:ascii="Arial" w:eastAsia="Arial" w:hAnsi="Arial" w:cs="Arial"/>
          <w:b/>
          <w:smallCaps/>
          <w:kern w:val="0"/>
          <w:sz w:val="36"/>
          <w:szCs w:val="36"/>
          <w:lang w:eastAsia="en-NZ"/>
          <w14:ligatures w14:val="none"/>
        </w:rPr>
      </w:pPr>
      <w:r w:rsidRPr="00EC325E">
        <w:rPr>
          <w:rFonts w:ascii="Calibri" w:eastAsia="Calibri" w:hAnsi="Calibri" w:cs="Calibri"/>
          <w:noProof/>
          <w:kern w:val="0"/>
          <w:lang w:eastAsia="en-NZ"/>
          <w14:ligatures w14:val="none"/>
        </w:rPr>
        <w:drawing>
          <wp:inline distT="0" distB="0" distL="0" distR="0" wp14:anchorId="067A1D41" wp14:editId="15C0FD9D">
            <wp:extent cx="3741420" cy="2635077"/>
            <wp:effectExtent l="0" t="0" r="0" b="0"/>
            <wp:docPr id="1853389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36723" name=""/>
                    <pic:cNvPicPr/>
                  </pic:nvPicPr>
                  <pic:blipFill>
                    <a:blip r:embed="rId10"/>
                    <a:stretch>
                      <a:fillRect/>
                    </a:stretch>
                  </pic:blipFill>
                  <pic:spPr>
                    <a:xfrm>
                      <a:off x="0" y="0"/>
                      <a:ext cx="3752573" cy="2642932"/>
                    </a:xfrm>
                    <a:prstGeom prst="rect">
                      <a:avLst/>
                    </a:prstGeom>
                  </pic:spPr>
                </pic:pic>
              </a:graphicData>
            </a:graphic>
          </wp:inline>
        </w:drawing>
      </w:r>
    </w:p>
    <w:p w14:paraId="75CB3398" w14:textId="60065434" w:rsidR="00FE5977" w:rsidRDefault="00FE5977" w:rsidP="00FE5977">
      <w:pPr>
        <w:pBdr>
          <w:bottom w:val="single" w:sz="6" w:space="1" w:color="4F6228"/>
        </w:pBdr>
        <w:spacing w:after="240" w:line="276" w:lineRule="auto"/>
        <w:ind w:left="567" w:right="567"/>
        <w:jc w:val="center"/>
        <w:rPr>
          <w:rFonts w:ascii="Calibri" w:eastAsia="Calibri" w:hAnsi="Calibri" w:cs="Calibri"/>
          <w:b/>
          <w:color w:val="869D69"/>
          <w:kern w:val="0"/>
          <w:sz w:val="72"/>
          <w:szCs w:val="72"/>
          <w:lang w:eastAsia="en-NZ"/>
          <w14:ligatures w14:val="none"/>
        </w:rPr>
      </w:pPr>
      <w:r>
        <w:rPr>
          <w:rFonts w:ascii="Calibri" w:eastAsia="Calibri" w:hAnsi="Calibri" w:cs="Calibri"/>
          <w:b/>
          <w:color w:val="869D69"/>
          <w:kern w:val="0"/>
          <w:sz w:val="72"/>
          <w:szCs w:val="72"/>
          <w:lang w:eastAsia="en-NZ"/>
          <w14:ligatures w14:val="none"/>
        </w:rPr>
        <w:t>B</w:t>
      </w:r>
      <w:r w:rsidRPr="00EC325E">
        <w:rPr>
          <w:rFonts w:ascii="Calibri" w:eastAsia="Calibri" w:hAnsi="Calibri" w:cs="Calibri"/>
          <w:b/>
          <w:color w:val="869D69"/>
          <w:kern w:val="0"/>
          <w:sz w:val="72"/>
          <w:szCs w:val="72"/>
          <w:lang w:eastAsia="en-NZ"/>
          <w14:ligatures w14:val="none"/>
        </w:rPr>
        <w:t xml:space="preserve">ooklet </w:t>
      </w:r>
      <w:r>
        <w:rPr>
          <w:rFonts w:ascii="Calibri" w:eastAsia="Calibri" w:hAnsi="Calibri" w:cs="Calibri"/>
          <w:b/>
          <w:color w:val="869D69"/>
          <w:kern w:val="0"/>
          <w:sz w:val="72"/>
          <w:szCs w:val="72"/>
          <w:lang w:eastAsia="en-NZ"/>
          <w14:ligatures w14:val="none"/>
        </w:rPr>
        <w:t>Three</w:t>
      </w:r>
    </w:p>
    <w:p w14:paraId="4F937756" w14:textId="4DA6596E" w:rsidR="003C3D28" w:rsidRPr="003C3D28" w:rsidRDefault="003C3D28" w:rsidP="003C3D28">
      <w:pPr>
        <w:pBdr>
          <w:bottom w:val="single" w:sz="6" w:space="1" w:color="4F6228"/>
        </w:pBdr>
        <w:spacing w:after="240" w:line="276" w:lineRule="auto"/>
        <w:ind w:left="567" w:right="567"/>
        <w:jc w:val="center"/>
        <w:rPr>
          <w:rFonts w:ascii="Calibri" w:eastAsia="Calibri" w:hAnsi="Calibri" w:cs="Calibri"/>
          <w:b/>
          <w:color w:val="869D69"/>
          <w:kern w:val="0"/>
          <w:sz w:val="36"/>
          <w:szCs w:val="36"/>
          <w:lang w:eastAsia="en-NZ"/>
          <w14:ligatures w14:val="none"/>
        </w:rPr>
      </w:pPr>
      <w:r w:rsidRPr="003C3D28">
        <w:rPr>
          <w:rFonts w:ascii="Calibri" w:eastAsia="Calibri" w:hAnsi="Calibri" w:cs="Calibri"/>
          <w:b/>
          <w:color w:val="869D69"/>
          <w:kern w:val="0"/>
          <w:sz w:val="36"/>
          <w:szCs w:val="36"/>
          <w:lang w:eastAsia="en-NZ"/>
          <w14:ligatures w14:val="none"/>
        </w:rPr>
        <w:t>of the</w:t>
      </w:r>
    </w:p>
    <w:p w14:paraId="414CF9E8" w14:textId="67560F15" w:rsidR="003C3D28" w:rsidRPr="00EC325E" w:rsidRDefault="003C3D28" w:rsidP="003C3D28">
      <w:pPr>
        <w:pBdr>
          <w:bottom w:val="single" w:sz="6" w:space="1" w:color="4F6228"/>
        </w:pBdr>
        <w:spacing w:after="240" w:line="276" w:lineRule="auto"/>
        <w:ind w:left="567" w:right="567"/>
        <w:jc w:val="center"/>
        <w:rPr>
          <w:rFonts w:ascii="Calibri" w:eastAsia="Calibri" w:hAnsi="Calibri" w:cs="Calibri"/>
          <w:b/>
          <w:color w:val="869D69"/>
          <w:kern w:val="0"/>
          <w:sz w:val="72"/>
          <w:szCs w:val="72"/>
          <w:lang w:eastAsia="en-NZ"/>
          <w14:ligatures w14:val="none"/>
        </w:rPr>
      </w:pPr>
      <w:r w:rsidRPr="003C3D28">
        <w:rPr>
          <w:rFonts w:ascii="Calibri" w:eastAsia="Calibri" w:hAnsi="Calibri" w:cs="Calibri"/>
          <w:b/>
          <w:color w:val="869D69"/>
          <w:kern w:val="0"/>
          <w:sz w:val="72"/>
          <w:szCs w:val="72"/>
          <w:lang w:eastAsia="en-NZ"/>
          <w14:ligatures w14:val="none"/>
        </w:rPr>
        <w:t>Spreadmark Code of Practice</w:t>
      </w:r>
    </w:p>
    <w:p w14:paraId="0F8732C7" w14:textId="3C581193" w:rsidR="00FE5977" w:rsidRPr="004A78D7" w:rsidRDefault="00FE5977" w:rsidP="00FE5977">
      <w:pPr>
        <w:pBdr>
          <w:bottom w:val="single" w:sz="6" w:space="1" w:color="4F6228"/>
        </w:pBdr>
        <w:spacing w:after="0" w:line="276" w:lineRule="auto"/>
        <w:ind w:left="567" w:right="567"/>
        <w:jc w:val="center"/>
        <w:rPr>
          <w:rFonts w:ascii="Calibri" w:eastAsia="Calibri" w:hAnsi="Calibri" w:cs="Calibri"/>
          <w:b/>
          <w:bCs/>
          <w:kern w:val="0"/>
          <w:sz w:val="62"/>
          <w:szCs w:val="62"/>
          <w:lang w:eastAsia="en-NZ"/>
          <w14:ligatures w14:val="none"/>
        </w:rPr>
      </w:pPr>
      <w:r w:rsidRPr="004A78D7">
        <w:rPr>
          <w:rFonts w:ascii="Calibri" w:eastAsia="Calibri" w:hAnsi="Calibri" w:cs="Calibri"/>
          <w:b/>
          <w:bCs/>
          <w:kern w:val="0"/>
          <w:sz w:val="62"/>
          <w:szCs w:val="62"/>
          <w:lang w:eastAsia="en-NZ"/>
          <w14:ligatures w14:val="none"/>
        </w:rPr>
        <w:t>Technical Specification</w:t>
      </w:r>
      <w:r w:rsidR="00E3258D">
        <w:rPr>
          <w:rFonts w:ascii="Calibri" w:eastAsia="Calibri" w:hAnsi="Calibri" w:cs="Calibri"/>
          <w:b/>
          <w:bCs/>
          <w:kern w:val="0"/>
          <w:sz w:val="62"/>
          <w:szCs w:val="62"/>
          <w:lang w:eastAsia="en-NZ"/>
          <w14:ligatures w14:val="none"/>
        </w:rPr>
        <w:t>s</w:t>
      </w:r>
      <w:r w:rsidRPr="004A78D7">
        <w:rPr>
          <w:rFonts w:ascii="Calibri" w:eastAsia="Calibri" w:hAnsi="Calibri" w:cs="Calibri"/>
          <w:b/>
          <w:bCs/>
          <w:kern w:val="0"/>
          <w:sz w:val="62"/>
          <w:szCs w:val="62"/>
          <w:lang w:eastAsia="en-NZ"/>
          <w14:ligatures w14:val="none"/>
        </w:rPr>
        <w:t xml:space="preserve"> for the Testing and Certification of </w:t>
      </w:r>
      <w:r w:rsidR="0031125F" w:rsidRPr="004A78D7">
        <w:rPr>
          <w:rFonts w:ascii="Calibri" w:eastAsia="Calibri" w:hAnsi="Calibri" w:cs="Calibri"/>
          <w:b/>
          <w:bCs/>
          <w:kern w:val="0"/>
          <w:sz w:val="62"/>
          <w:szCs w:val="62"/>
          <w:lang w:eastAsia="en-NZ"/>
          <w14:ligatures w14:val="none"/>
        </w:rPr>
        <w:t>Conventional Boom Sprayers Applying Liquid Nutrient</w:t>
      </w:r>
    </w:p>
    <w:p w14:paraId="0B5AF4DD" w14:textId="77777777" w:rsidR="006A39FB" w:rsidRDefault="006A39FB">
      <w:pPr>
        <w:rPr>
          <w:b/>
          <w:bCs/>
          <w:sz w:val="36"/>
          <w:szCs w:val="36"/>
          <w:lang w:eastAsia="en-NZ"/>
        </w:rPr>
      </w:pPr>
      <w:r>
        <w:rPr>
          <w:b/>
          <w:bCs/>
          <w:sz w:val="36"/>
          <w:szCs w:val="36"/>
          <w:lang w:eastAsia="en-NZ"/>
        </w:rPr>
        <w:br w:type="page"/>
      </w:r>
    </w:p>
    <w:p w14:paraId="2D44E6B5" w14:textId="01752619" w:rsidR="005050CE" w:rsidRPr="002D6578" w:rsidRDefault="005050CE" w:rsidP="002D6578">
      <w:pPr>
        <w:jc w:val="center"/>
        <w:rPr>
          <w:b/>
          <w:bCs/>
          <w:caps/>
          <w:sz w:val="24"/>
          <w:szCs w:val="24"/>
          <w:lang w:eastAsia="en-NZ"/>
        </w:rPr>
      </w:pPr>
      <w:r w:rsidRPr="002D6578">
        <w:rPr>
          <w:b/>
          <w:bCs/>
          <w:caps/>
          <w:sz w:val="24"/>
          <w:szCs w:val="24"/>
          <w:lang w:eastAsia="en-NZ"/>
        </w:rPr>
        <w:lastRenderedPageBreak/>
        <w:t>Technical specification</w:t>
      </w:r>
      <w:r w:rsidR="00E3258D">
        <w:rPr>
          <w:b/>
          <w:bCs/>
          <w:caps/>
          <w:sz w:val="24"/>
          <w:szCs w:val="24"/>
          <w:lang w:eastAsia="en-NZ"/>
        </w:rPr>
        <w:t>s</w:t>
      </w:r>
      <w:r w:rsidRPr="002D6578">
        <w:rPr>
          <w:b/>
          <w:bCs/>
          <w:caps/>
          <w:sz w:val="24"/>
          <w:szCs w:val="24"/>
          <w:lang w:eastAsia="en-NZ"/>
        </w:rPr>
        <w:t xml:space="preserve"> for the testing and certification of conventional boom sprayers applying liquid nutrient</w:t>
      </w:r>
    </w:p>
    <w:p w14:paraId="4B5F996B" w14:textId="77777777" w:rsidR="00101DD3" w:rsidRPr="00101DD3" w:rsidRDefault="00101DD3" w:rsidP="00101DD3">
      <w:pPr>
        <w:spacing w:after="200" w:line="276" w:lineRule="auto"/>
        <w:rPr>
          <w:rFonts w:ascii="Calibri" w:eastAsia="Calibri" w:hAnsi="Calibri" w:cs="Calibri"/>
          <w:b/>
          <w:kern w:val="0"/>
          <w:sz w:val="24"/>
          <w:szCs w:val="24"/>
          <w:lang w:eastAsia="en-NZ"/>
          <w14:ligatures w14:val="none"/>
        </w:rPr>
      </w:pPr>
      <w:r w:rsidRPr="00101DD3">
        <w:rPr>
          <w:rFonts w:ascii="Calibri" w:eastAsia="Calibri" w:hAnsi="Calibri" w:cs="Calibri"/>
          <w:b/>
          <w:kern w:val="0"/>
          <w:sz w:val="24"/>
          <w:szCs w:val="24"/>
          <w:lang w:eastAsia="en-NZ"/>
          <w14:ligatures w14:val="none"/>
        </w:rPr>
        <w:t>INTRODUCTION</w:t>
      </w:r>
    </w:p>
    <w:p w14:paraId="2D8D8188" w14:textId="77777777" w:rsidR="00101DD3" w:rsidRPr="00101DD3" w:rsidRDefault="00101DD3" w:rsidP="00101DD3">
      <w:pPr>
        <w:spacing w:after="200" w:line="276" w:lineRule="auto"/>
        <w:jc w:val="both"/>
        <w:rPr>
          <w:rFonts w:eastAsia="Calibri" w:cstheme="minorHAnsi"/>
          <w:bCs/>
          <w:kern w:val="0"/>
          <w:lang w:eastAsia="en-NZ"/>
          <w14:ligatures w14:val="none"/>
        </w:rPr>
      </w:pPr>
      <w:r w:rsidRPr="00101DD3">
        <w:rPr>
          <w:rFonts w:eastAsia="Calibri" w:cstheme="minorHAnsi"/>
          <w:bCs/>
          <w:kern w:val="0"/>
          <w:lang w:eastAsia="en-NZ"/>
          <w14:ligatures w14:val="none"/>
        </w:rPr>
        <w:t xml:space="preserve">This booklet is one of four booklets containing information that supports the Spreadmark Code of Practice for the Application of Nutrients in New Zealand </w:t>
      </w:r>
    </w:p>
    <w:p w14:paraId="28AEF8DA" w14:textId="77777777" w:rsidR="00101DD3" w:rsidRPr="00101DD3" w:rsidRDefault="00101DD3" w:rsidP="00101DD3">
      <w:pPr>
        <w:spacing w:after="200" w:line="276" w:lineRule="auto"/>
        <w:jc w:val="both"/>
        <w:rPr>
          <w:rFonts w:eastAsia="Calibri" w:cstheme="minorHAnsi"/>
          <w:bCs/>
          <w:kern w:val="0"/>
          <w:lang w:eastAsia="en-NZ"/>
          <w14:ligatures w14:val="none"/>
        </w:rPr>
      </w:pPr>
      <w:r w:rsidRPr="00101DD3">
        <w:rPr>
          <w:rFonts w:eastAsia="Calibri" w:cstheme="minorHAnsi"/>
          <w:bCs/>
          <w:kern w:val="0"/>
          <w:lang w:eastAsia="en-NZ"/>
          <w14:ligatures w14:val="none"/>
        </w:rPr>
        <w:t xml:space="preserve">The Spreadmark Code of Practice can be found here </w:t>
      </w:r>
      <w:hyperlink r:id="rId11" w:history="1">
        <w:r w:rsidRPr="00101DD3">
          <w:rPr>
            <w:rFonts w:eastAsia="Calibri" w:cstheme="minorHAnsi"/>
            <w:bCs/>
            <w:color w:val="0563C1" w:themeColor="hyperlink"/>
            <w:kern w:val="0"/>
            <w:u w:val="single"/>
            <w:lang w:eastAsia="en-NZ"/>
            <w14:ligatures w14:val="none"/>
          </w:rPr>
          <w:t>https://fertqual.co.nz/resources/</w:t>
        </w:r>
      </w:hyperlink>
      <w:r w:rsidRPr="00101DD3">
        <w:rPr>
          <w:rFonts w:eastAsia="Calibri" w:cstheme="minorHAnsi"/>
          <w:bCs/>
          <w:kern w:val="0"/>
          <w:lang w:eastAsia="en-NZ"/>
          <w14:ligatures w14:val="none"/>
        </w:rPr>
        <w:t xml:space="preserve"> </w:t>
      </w:r>
    </w:p>
    <w:p w14:paraId="5B8D90BF" w14:textId="77777777" w:rsidR="00101DD3" w:rsidRPr="00101DD3" w:rsidRDefault="00101DD3" w:rsidP="00101DD3">
      <w:pPr>
        <w:spacing w:after="200" w:line="276" w:lineRule="auto"/>
        <w:jc w:val="both"/>
        <w:rPr>
          <w:rFonts w:eastAsia="Calibri" w:cstheme="minorHAnsi"/>
          <w:bCs/>
          <w:kern w:val="0"/>
          <w:lang w:eastAsia="en-NZ"/>
          <w14:ligatures w14:val="none"/>
        </w:rPr>
      </w:pPr>
      <w:r w:rsidRPr="00101DD3">
        <w:rPr>
          <w:rFonts w:eastAsia="Calibri" w:cstheme="minorHAnsi"/>
          <w:bCs/>
          <w:kern w:val="0"/>
          <w:lang w:eastAsia="en-NZ"/>
          <w14:ligatures w14:val="none"/>
        </w:rPr>
        <w:t>This booklet forms part of the Code and all information related to copyright, document control, acknowledgements and glossary contained in the main Code apply equally to the information in this booklet.</w:t>
      </w:r>
    </w:p>
    <w:p w14:paraId="60F6C926" w14:textId="77777777" w:rsidR="00101DD3" w:rsidRPr="00101DD3" w:rsidRDefault="00101DD3" w:rsidP="00101DD3">
      <w:pPr>
        <w:spacing w:after="200" w:line="276" w:lineRule="auto"/>
        <w:jc w:val="both"/>
        <w:rPr>
          <w:rFonts w:eastAsia="Calibri" w:cstheme="minorHAnsi"/>
          <w:bCs/>
          <w:kern w:val="0"/>
          <w:lang w:eastAsia="en-NZ"/>
          <w14:ligatures w14:val="none"/>
        </w:rPr>
      </w:pPr>
      <w:r w:rsidRPr="00101DD3">
        <w:rPr>
          <w:rFonts w:eastAsia="Calibri" w:cstheme="minorHAnsi"/>
          <w:bCs/>
          <w:kern w:val="0"/>
          <w:lang w:eastAsia="en-NZ"/>
          <w14:ligatures w14:val="none"/>
        </w:rPr>
        <w:t>Other booklets containing support information for the Spreadmark Code of Practice are:</w:t>
      </w:r>
    </w:p>
    <w:p w14:paraId="768FA7DE" w14:textId="77777777" w:rsidR="00101DD3" w:rsidRPr="00101DD3" w:rsidRDefault="00101DD3" w:rsidP="00101DD3">
      <w:pPr>
        <w:spacing w:before="120" w:after="120" w:line="240" w:lineRule="auto"/>
        <w:contextualSpacing/>
        <w:rPr>
          <w:rFonts w:ascii="Calibri" w:eastAsia="Calibri" w:hAnsi="Calibri" w:cs="Calibri"/>
          <w:bCs/>
          <w:kern w:val="0"/>
          <w:lang w:eastAsia="en-NZ"/>
          <w14:ligatures w14:val="none"/>
        </w:rPr>
      </w:pPr>
      <w:r w:rsidRPr="00101DD3">
        <w:rPr>
          <w:rFonts w:ascii="Calibri" w:eastAsia="Calibri" w:hAnsi="Calibri" w:cstheme="minorHAnsi"/>
          <w:bCs/>
          <w:kern w:val="0"/>
          <w:lang w:eastAsia="en-NZ"/>
          <w14:ligatures w14:val="none"/>
        </w:rPr>
        <w:t>Booklet 1:</w:t>
      </w:r>
      <w:r w:rsidRPr="00101DD3">
        <w:rPr>
          <w:rFonts w:ascii="Calibri" w:eastAsia="Calibri" w:hAnsi="Calibri" w:cstheme="minorHAnsi"/>
          <w:bCs/>
          <w:kern w:val="0"/>
          <w:lang w:eastAsia="en-NZ"/>
          <w14:ligatures w14:val="none"/>
        </w:rPr>
        <w:tab/>
      </w:r>
      <w:r w:rsidRPr="00101DD3">
        <w:rPr>
          <w:rFonts w:ascii="Calibri" w:eastAsia="Calibri" w:hAnsi="Calibri" w:cs="Calibri"/>
          <w:bCs/>
          <w:kern w:val="0"/>
          <w:lang w:eastAsia="en-NZ"/>
          <w14:ligatures w14:val="none"/>
        </w:rPr>
        <w:t>Spreadmark Procedures, Protocols, Policies and Codes.</w:t>
      </w:r>
    </w:p>
    <w:p w14:paraId="0027F387" w14:textId="068B6813" w:rsidR="00101DD3" w:rsidRPr="00101DD3" w:rsidRDefault="00101DD3" w:rsidP="00101DD3">
      <w:pPr>
        <w:spacing w:before="120" w:after="120" w:line="240" w:lineRule="auto"/>
        <w:ind w:left="1440" w:hanging="1440"/>
        <w:contextualSpacing/>
        <w:rPr>
          <w:rFonts w:eastAsia="Calibri" w:cstheme="minorHAnsi"/>
          <w:bCs/>
          <w:kern w:val="0"/>
          <w:lang w:eastAsia="en-NZ"/>
          <w14:ligatures w14:val="none"/>
        </w:rPr>
      </w:pPr>
      <w:r w:rsidRPr="00101DD3">
        <w:rPr>
          <w:rFonts w:eastAsia="Calibri" w:cstheme="minorHAnsi"/>
          <w:bCs/>
          <w:kern w:val="0"/>
          <w:lang w:eastAsia="en-NZ"/>
          <w14:ligatures w14:val="none"/>
        </w:rPr>
        <w:t xml:space="preserve">Booklet 2: </w:t>
      </w:r>
      <w:r w:rsidRPr="00101DD3">
        <w:rPr>
          <w:rFonts w:eastAsia="Calibri" w:cstheme="minorHAnsi"/>
          <w:bCs/>
          <w:kern w:val="0"/>
          <w:lang w:eastAsia="en-NZ"/>
          <w14:ligatures w14:val="none"/>
        </w:rPr>
        <w:tab/>
        <w:t>Technical Specification</w:t>
      </w:r>
      <w:r w:rsidR="00E3258D">
        <w:rPr>
          <w:rFonts w:eastAsia="Calibri" w:cstheme="minorHAnsi"/>
          <w:bCs/>
          <w:kern w:val="0"/>
          <w:lang w:eastAsia="en-NZ"/>
          <w14:ligatures w14:val="none"/>
        </w:rPr>
        <w:t>s</w:t>
      </w:r>
      <w:r w:rsidRPr="00101DD3">
        <w:rPr>
          <w:rFonts w:eastAsia="Calibri" w:cstheme="minorHAnsi"/>
          <w:bCs/>
          <w:kern w:val="0"/>
          <w:lang w:eastAsia="en-NZ"/>
          <w14:ligatures w14:val="none"/>
        </w:rPr>
        <w:t xml:space="preserve"> for the Testing and Certification of Solid </w:t>
      </w:r>
      <w:r w:rsidR="00A84CED">
        <w:rPr>
          <w:rFonts w:eastAsia="Calibri" w:cstheme="minorHAnsi"/>
          <w:bCs/>
          <w:kern w:val="0"/>
          <w:lang w:eastAsia="en-NZ"/>
          <w14:ligatures w14:val="none"/>
        </w:rPr>
        <w:t>Nutrient</w:t>
      </w:r>
      <w:r w:rsidRPr="00101DD3">
        <w:rPr>
          <w:rFonts w:eastAsia="Calibri" w:cstheme="minorHAnsi"/>
          <w:bCs/>
          <w:kern w:val="0"/>
          <w:lang w:eastAsia="en-NZ"/>
          <w14:ligatures w14:val="none"/>
        </w:rPr>
        <w:t xml:space="preserve"> </w:t>
      </w:r>
      <w:r w:rsidR="005F0118">
        <w:rPr>
          <w:rFonts w:eastAsia="Calibri" w:cstheme="minorHAnsi"/>
          <w:bCs/>
          <w:kern w:val="0"/>
          <w:lang w:eastAsia="en-NZ"/>
          <w14:ligatures w14:val="none"/>
        </w:rPr>
        <w:t xml:space="preserve">Spreading </w:t>
      </w:r>
      <w:r w:rsidRPr="00101DD3">
        <w:rPr>
          <w:rFonts w:eastAsia="Calibri" w:cstheme="minorHAnsi"/>
          <w:bCs/>
          <w:kern w:val="0"/>
          <w:lang w:eastAsia="en-NZ"/>
          <w14:ligatures w14:val="none"/>
        </w:rPr>
        <w:t>Units.</w:t>
      </w:r>
    </w:p>
    <w:p w14:paraId="426415AF" w14:textId="2D24544E" w:rsidR="00101DD3" w:rsidRPr="00101DD3" w:rsidRDefault="00101DD3" w:rsidP="00101DD3">
      <w:pPr>
        <w:spacing w:before="120" w:after="120" w:line="240" w:lineRule="auto"/>
        <w:ind w:left="1440" w:hanging="1440"/>
        <w:contextualSpacing/>
        <w:rPr>
          <w:rFonts w:eastAsia="Calibri" w:cstheme="minorHAnsi"/>
          <w:bCs/>
          <w:kern w:val="0"/>
          <w:lang w:eastAsia="en-NZ"/>
          <w14:ligatures w14:val="none"/>
        </w:rPr>
      </w:pPr>
      <w:r w:rsidRPr="00101DD3">
        <w:rPr>
          <w:rFonts w:eastAsia="Calibri" w:cstheme="minorHAnsi"/>
          <w:bCs/>
          <w:kern w:val="0"/>
          <w:lang w:eastAsia="en-NZ"/>
          <w14:ligatures w14:val="none"/>
        </w:rPr>
        <w:t xml:space="preserve">Booklet 4: </w:t>
      </w:r>
      <w:r w:rsidRPr="00101DD3">
        <w:rPr>
          <w:rFonts w:eastAsia="Calibri" w:cstheme="minorHAnsi"/>
          <w:bCs/>
          <w:kern w:val="0"/>
          <w:lang w:eastAsia="en-NZ"/>
          <w14:ligatures w14:val="none"/>
        </w:rPr>
        <w:tab/>
        <w:t xml:space="preserve">Spread </w:t>
      </w:r>
      <w:r w:rsidR="00C50150">
        <w:rPr>
          <w:rFonts w:eastAsia="Calibri" w:cstheme="minorHAnsi"/>
          <w:bCs/>
          <w:kern w:val="0"/>
          <w:lang w:eastAsia="en-NZ"/>
          <w14:ligatures w14:val="none"/>
        </w:rPr>
        <w:t>P</w:t>
      </w:r>
      <w:r w:rsidRPr="00101DD3">
        <w:rPr>
          <w:rFonts w:eastAsia="Calibri" w:cstheme="minorHAnsi"/>
          <w:bCs/>
          <w:kern w:val="0"/>
          <w:lang w:eastAsia="en-NZ"/>
          <w14:ligatures w14:val="none"/>
        </w:rPr>
        <w:t xml:space="preserve">attern Testing and </w:t>
      </w:r>
      <w:r w:rsidR="00CF15F6">
        <w:rPr>
          <w:rFonts w:eastAsia="Calibri" w:cstheme="minorHAnsi"/>
          <w:bCs/>
          <w:kern w:val="0"/>
          <w:lang w:eastAsia="en-NZ"/>
          <w14:ligatures w14:val="none"/>
        </w:rPr>
        <w:t>Certification</w:t>
      </w:r>
      <w:r w:rsidRPr="00101DD3">
        <w:rPr>
          <w:rFonts w:eastAsia="Calibri" w:cstheme="minorHAnsi"/>
          <w:bCs/>
          <w:kern w:val="0"/>
          <w:lang w:eastAsia="en-NZ"/>
          <w14:ligatures w14:val="none"/>
        </w:rPr>
        <w:t xml:space="preserve"> for </w:t>
      </w:r>
      <w:r w:rsidR="005F0118">
        <w:rPr>
          <w:rFonts w:eastAsia="Calibri" w:cstheme="minorHAnsi"/>
          <w:bCs/>
          <w:kern w:val="0"/>
          <w:lang w:eastAsia="en-NZ"/>
          <w14:ligatures w14:val="none"/>
        </w:rPr>
        <w:t xml:space="preserve">Fixed Wing </w:t>
      </w:r>
      <w:r w:rsidRPr="00101DD3">
        <w:rPr>
          <w:rFonts w:eastAsia="Calibri" w:cstheme="minorHAnsi"/>
          <w:bCs/>
          <w:kern w:val="0"/>
          <w:lang w:eastAsia="en-NZ"/>
          <w14:ligatures w14:val="none"/>
        </w:rPr>
        <w:t>Aerial Application</w:t>
      </w:r>
      <w:r w:rsidR="007E4AC7">
        <w:rPr>
          <w:rFonts w:eastAsia="Calibri" w:cstheme="minorHAnsi"/>
          <w:bCs/>
          <w:kern w:val="0"/>
          <w:lang w:eastAsia="en-NZ"/>
          <w14:ligatures w14:val="none"/>
        </w:rPr>
        <w:t xml:space="preserve"> of </w:t>
      </w:r>
      <w:r w:rsidR="00CF15F6">
        <w:rPr>
          <w:rFonts w:eastAsia="Calibri" w:cstheme="minorHAnsi"/>
          <w:bCs/>
          <w:kern w:val="0"/>
          <w:lang w:eastAsia="en-NZ"/>
          <w14:ligatures w14:val="none"/>
        </w:rPr>
        <w:t xml:space="preserve">Solid </w:t>
      </w:r>
      <w:r w:rsidR="007E4AC7">
        <w:rPr>
          <w:rFonts w:eastAsia="Calibri" w:cstheme="minorHAnsi"/>
          <w:bCs/>
          <w:kern w:val="0"/>
          <w:lang w:eastAsia="en-NZ"/>
          <w14:ligatures w14:val="none"/>
        </w:rPr>
        <w:t>Nutrients</w:t>
      </w:r>
      <w:r w:rsidRPr="00101DD3">
        <w:rPr>
          <w:rFonts w:eastAsia="Calibri" w:cstheme="minorHAnsi"/>
          <w:bCs/>
          <w:kern w:val="0"/>
          <w:lang w:eastAsia="en-NZ"/>
          <w14:ligatures w14:val="none"/>
        </w:rPr>
        <w:t>.</w:t>
      </w:r>
    </w:p>
    <w:p w14:paraId="47538246" w14:textId="77777777" w:rsidR="005050CE" w:rsidRDefault="005050CE" w:rsidP="005050CE">
      <w:pPr>
        <w:spacing w:line="240" w:lineRule="auto"/>
        <w:rPr>
          <w:lang w:val="en-US"/>
        </w:rPr>
      </w:pPr>
    </w:p>
    <w:p w14:paraId="0291ACCA" w14:textId="65C2FF0A" w:rsidR="00D73BE0" w:rsidRDefault="00D73BE0" w:rsidP="00D73BE0">
      <w:pPr>
        <w:spacing w:after="200" w:line="276" w:lineRule="auto"/>
        <w:jc w:val="both"/>
        <w:rPr>
          <w:rFonts w:eastAsia="Calibri" w:cstheme="minorHAnsi"/>
          <w:bCs/>
          <w:kern w:val="0"/>
          <w:lang w:eastAsia="en-NZ"/>
          <w14:ligatures w14:val="none"/>
        </w:rPr>
      </w:pPr>
      <w:r>
        <w:rPr>
          <w:rFonts w:eastAsia="Arial" w:cstheme="minorHAnsi"/>
          <w:kern w:val="0"/>
          <w:lang w:eastAsia="en-NZ"/>
          <w14:ligatures w14:val="none"/>
        </w:rPr>
        <w:t xml:space="preserve">These booklets are supported by </w:t>
      </w:r>
      <w:r w:rsidR="00D80787">
        <w:rPr>
          <w:rFonts w:eastAsia="Arial" w:cstheme="minorHAnsi"/>
          <w:kern w:val="0"/>
          <w:lang w:eastAsia="en-NZ"/>
          <w14:ligatures w14:val="none"/>
        </w:rPr>
        <w:t>two</w:t>
      </w:r>
      <w:r>
        <w:rPr>
          <w:rFonts w:eastAsia="Arial" w:cstheme="minorHAnsi"/>
          <w:kern w:val="0"/>
          <w:lang w:eastAsia="en-NZ"/>
          <w14:ligatures w14:val="none"/>
        </w:rPr>
        <w:t xml:space="preserve"> technical documents listed below and found here:  </w:t>
      </w:r>
      <w:hyperlink r:id="rId12" w:history="1">
        <w:r>
          <w:rPr>
            <w:rStyle w:val="Hyperlink"/>
            <w:rFonts w:eastAsia="Arial" w:cstheme="minorHAnsi"/>
            <w:kern w:val="0"/>
            <w:lang w:eastAsia="en-NZ"/>
            <w14:ligatures w14:val="none"/>
          </w:rPr>
          <w:t>https://fertqual.co.nz/spreadmark/</w:t>
        </w:r>
      </w:hyperlink>
      <w:r>
        <w:rPr>
          <w:rFonts w:eastAsia="Arial" w:cstheme="minorHAnsi"/>
          <w:kern w:val="0"/>
          <w:lang w:eastAsia="en-NZ"/>
          <w14:ligatures w14:val="none"/>
        </w:rPr>
        <w:t xml:space="preserve"> </w:t>
      </w:r>
    </w:p>
    <w:p w14:paraId="299E8498" w14:textId="71B6692F" w:rsidR="00D73BE0" w:rsidRDefault="00D73BE0" w:rsidP="00D73BE0">
      <w:pPr>
        <w:pStyle w:val="ListParagraph"/>
        <w:numPr>
          <w:ilvl w:val="0"/>
          <w:numId w:val="15"/>
        </w:numPr>
        <w:spacing w:after="0" w:line="240" w:lineRule="auto"/>
        <w:rPr>
          <w:rFonts w:eastAsia="Arial" w:cstheme="minorHAnsi"/>
          <w:kern w:val="0"/>
          <w:lang w:eastAsia="en-NZ"/>
          <w14:ligatures w14:val="none"/>
        </w:rPr>
      </w:pPr>
      <w:r>
        <w:rPr>
          <w:rFonts w:eastAsia="Arial" w:cstheme="minorHAnsi"/>
        </w:rPr>
        <w:t xml:space="preserve">Nutrient Application Specifications; </w:t>
      </w:r>
      <w:r w:rsidR="00D80787">
        <w:rPr>
          <w:rFonts w:eastAsia="Arial" w:cstheme="minorHAnsi"/>
        </w:rPr>
        <w:t>and</w:t>
      </w:r>
    </w:p>
    <w:p w14:paraId="41519270" w14:textId="04BF0026" w:rsidR="00D73BE0" w:rsidRDefault="00D73BE0" w:rsidP="00D73BE0">
      <w:pPr>
        <w:pStyle w:val="ListParagraph"/>
        <w:numPr>
          <w:ilvl w:val="0"/>
          <w:numId w:val="15"/>
        </w:numPr>
        <w:spacing w:after="0" w:line="240" w:lineRule="auto"/>
        <w:rPr>
          <w:rFonts w:eastAsia="Arial" w:cstheme="minorHAnsi"/>
        </w:rPr>
      </w:pPr>
      <w:r>
        <w:rPr>
          <w:rFonts w:eastAsia="Arial" w:cstheme="minorHAnsi"/>
        </w:rPr>
        <w:t>Nutrient Physical Properties - General Information</w:t>
      </w:r>
      <w:r w:rsidR="00C93883">
        <w:rPr>
          <w:rFonts w:eastAsia="Arial" w:cstheme="minorHAnsi"/>
        </w:rPr>
        <w:t>.</w:t>
      </w:r>
      <w:r>
        <w:rPr>
          <w:rFonts w:eastAsia="Arial" w:cstheme="minorHAnsi"/>
        </w:rPr>
        <w:t xml:space="preserve"> </w:t>
      </w:r>
    </w:p>
    <w:p w14:paraId="7FD79BEC" w14:textId="77777777" w:rsidR="00D73BE0" w:rsidRPr="002D6578" w:rsidRDefault="00D73BE0" w:rsidP="005050CE">
      <w:pPr>
        <w:spacing w:line="240" w:lineRule="auto"/>
        <w:rPr>
          <w:lang w:val="en-US"/>
        </w:rPr>
      </w:pPr>
    </w:p>
    <w:p w14:paraId="7AE8F58D" w14:textId="29806039" w:rsidR="00BF3FC1" w:rsidRPr="00BF3FC1" w:rsidRDefault="00BF3FC1" w:rsidP="00BF3FC1">
      <w:pPr>
        <w:spacing w:before="120" w:after="240" w:line="240" w:lineRule="auto"/>
        <w:jc w:val="both"/>
        <w:rPr>
          <w:rFonts w:eastAsia="Times New Roman" w:cstheme="minorHAnsi"/>
          <w:b/>
          <w:bCs/>
          <w:color w:val="000000"/>
          <w:kern w:val="0"/>
          <w:lang w:eastAsia="en-NZ"/>
          <w14:ligatures w14:val="none"/>
        </w:rPr>
      </w:pPr>
      <w:r w:rsidRPr="00BF3FC1">
        <w:rPr>
          <w:rFonts w:eastAsia="Times New Roman" w:cstheme="minorHAnsi"/>
          <w:b/>
          <w:bCs/>
          <w:color w:val="000000"/>
          <w:kern w:val="0"/>
          <w:lang w:eastAsia="en-NZ"/>
          <w14:ligatures w14:val="none"/>
        </w:rPr>
        <w:t>P</w:t>
      </w:r>
      <w:r w:rsidR="00AE4B60">
        <w:rPr>
          <w:rFonts w:eastAsia="Times New Roman" w:cstheme="minorHAnsi"/>
          <w:b/>
          <w:bCs/>
          <w:color w:val="000000"/>
          <w:kern w:val="0"/>
          <w:lang w:eastAsia="en-NZ"/>
          <w14:ligatures w14:val="none"/>
        </w:rPr>
        <w:t>rinciples</w:t>
      </w:r>
    </w:p>
    <w:p w14:paraId="56211FCD" w14:textId="77777777" w:rsidR="00BF3FC1" w:rsidRPr="00BF3FC1" w:rsidRDefault="00BF3FC1" w:rsidP="00BF3FC1">
      <w:pPr>
        <w:spacing w:before="120" w:after="240" w:line="240" w:lineRule="auto"/>
        <w:jc w:val="both"/>
        <w:rPr>
          <w:rFonts w:eastAsia="Times New Roman" w:cstheme="minorHAnsi"/>
          <w:color w:val="000000"/>
          <w:kern w:val="0"/>
          <w:lang w:eastAsia="en-NZ"/>
          <w14:ligatures w14:val="none"/>
        </w:rPr>
      </w:pPr>
      <w:r w:rsidRPr="00BF3FC1">
        <w:rPr>
          <w:rFonts w:eastAsia="Times New Roman" w:cstheme="minorHAnsi"/>
          <w:color w:val="000000"/>
          <w:kern w:val="0"/>
          <w:lang w:eastAsia="en-NZ"/>
          <w14:ligatures w14:val="none"/>
        </w:rPr>
        <w:t>Section 5.1 of the Spreadmark Code of Practice lists a series of principles for spreader certification. These include:</w:t>
      </w:r>
    </w:p>
    <w:p w14:paraId="4FCDE5CC" w14:textId="77E72DBA" w:rsidR="00BF3FC1" w:rsidRPr="00BF3FC1" w:rsidRDefault="00BF3FC1" w:rsidP="00BF3FC1">
      <w:pPr>
        <w:numPr>
          <w:ilvl w:val="0"/>
          <w:numId w:val="17"/>
        </w:numPr>
        <w:spacing w:before="120" w:after="240" w:line="240" w:lineRule="auto"/>
        <w:contextualSpacing/>
        <w:jc w:val="both"/>
        <w:rPr>
          <w:rFonts w:ascii="Calibri" w:eastAsia="Times New Roman" w:hAnsi="Calibri" w:cstheme="minorHAnsi"/>
          <w:color w:val="000000"/>
          <w:kern w:val="0"/>
          <w:lang w:eastAsia="en-NZ"/>
          <w14:ligatures w14:val="none"/>
        </w:rPr>
      </w:pPr>
      <w:r w:rsidRPr="00BF3FC1">
        <w:rPr>
          <w:rFonts w:asciiTheme="majorHAnsi" w:eastAsia="Arial" w:hAnsiTheme="majorHAnsi" w:cstheme="majorHAnsi"/>
          <w:kern w:val="0"/>
          <w:lang w:eastAsia="en-NZ"/>
          <w14:ligatures w14:val="none"/>
        </w:rPr>
        <w:t xml:space="preserve">The spreader test procedure allows each spreader </w:t>
      </w:r>
      <w:r w:rsidR="003870E2">
        <w:rPr>
          <w:rFonts w:asciiTheme="majorHAnsi" w:eastAsia="Arial" w:hAnsiTheme="majorHAnsi" w:cstheme="majorHAnsi"/>
          <w:kern w:val="0"/>
          <w:lang w:eastAsia="en-NZ"/>
          <w14:ligatures w14:val="none"/>
        </w:rPr>
        <w:t xml:space="preserve">unit </w:t>
      </w:r>
      <w:r w:rsidRPr="00BF3FC1">
        <w:rPr>
          <w:rFonts w:asciiTheme="majorHAnsi" w:eastAsia="Arial" w:hAnsiTheme="majorHAnsi" w:cstheme="majorHAnsi"/>
          <w:kern w:val="0"/>
          <w:lang w:eastAsia="en-NZ"/>
          <w14:ligatures w14:val="none"/>
        </w:rPr>
        <w:t>to be characterised so it can be set to accommodate variable nutrient characteristics;</w:t>
      </w:r>
    </w:p>
    <w:p w14:paraId="28F59349" w14:textId="77777777" w:rsidR="00BF3FC1" w:rsidRPr="00BF3FC1" w:rsidRDefault="00BF3FC1" w:rsidP="00BF3FC1">
      <w:pPr>
        <w:numPr>
          <w:ilvl w:val="0"/>
          <w:numId w:val="17"/>
        </w:numPr>
        <w:spacing w:before="120" w:after="240" w:line="240" w:lineRule="auto"/>
        <w:contextualSpacing/>
        <w:jc w:val="both"/>
        <w:rPr>
          <w:rFonts w:ascii="Calibri" w:eastAsia="Times New Roman" w:hAnsi="Calibri" w:cstheme="minorHAnsi"/>
          <w:color w:val="000000"/>
          <w:kern w:val="0"/>
          <w:lang w:eastAsia="en-NZ"/>
          <w14:ligatures w14:val="none"/>
        </w:rPr>
      </w:pPr>
      <w:r w:rsidRPr="00BF3FC1">
        <w:rPr>
          <w:rFonts w:asciiTheme="majorHAnsi" w:eastAsia="Arial" w:hAnsiTheme="majorHAnsi" w:cstheme="majorHAnsi"/>
          <w:kern w:val="0"/>
          <w:lang w:eastAsia="en-NZ"/>
          <w14:ligatures w14:val="none"/>
        </w:rPr>
        <w:t>The test procedure has been linked to international methods and practice, adapted to New Zealand conditions;</w:t>
      </w:r>
    </w:p>
    <w:p w14:paraId="702018A1" w14:textId="77777777" w:rsidR="00BF3FC1" w:rsidRPr="00BF3FC1" w:rsidRDefault="00BF3FC1" w:rsidP="00BF3FC1">
      <w:pPr>
        <w:numPr>
          <w:ilvl w:val="0"/>
          <w:numId w:val="17"/>
        </w:numPr>
        <w:spacing w:before="120" w:after="240" w:line="240" w:lineRule="auto"/>
        <w:contextualSpacing/>
        <w:jc w:val="both"/>
        <w:rPr>
          <w:rFonts w:asciiTheme="majorHAnsi" w:eastAsia="Arial" w:hAnsiTheme="majorHAnsi" w:cstheme="majorHAnsi"/>
          <w:kern w:val="0"/>
          <w:lang w:eastAsia="en-NZ"/>
          <w14:ligatures w14:val="none"/>
        </w:rPr>
      </w:pPr>
      <w:r w:rsidRPr="00BF3FC1">
        <w:rPr>
          <w:rFonts w:asciiTheme="majorHAnsi" w:eastAsia="Arial" w:hAnsiTheme="majorHAnsi" w:cstheme="majorHAnsi"/>
          <w:kern w:val="0"/>
          <w:lang w:eastAsia="en-NZ"/>
          <w14:ligatures w14:val="none"/>
        </w:rPr>
        <w:t>Both indoor and outdoor testing is permitted for ground spreading units;</w:t>
      </w:r>
    </w:p>
    <w:p w14:paraId="1A5DD2C6" w14:textId="77777777" w:rsidR="00BF3FC1" w:rsidRPr="00BF3FC1" w:rsidRDefault="00BF3FC1" w:rsidP="00BF3FC1">
      <w:pPr>
        <w:numPr>
          <w:ilvl w:val="0"/>
          <w:numId w:val="17"/>
        </w:numPr>
        <w:spacing w:before="120" w:after="240" w:line="240" w:lineRule="auto"/>
        <w:contextualSpacing/>
        <w:jc w:val="both"/>
        <w:rPr>
          <w:rFonts w:asciiTheme="majorHAnsi" w:eastAsia="Arial" w:hAnsiTheme="majorHAnsi" w:cstheme="majorHAnsi"/>
          <w:kern w:val="0"/>
          <w:lang w:eastAsia="en-NZ"/>
          <w14:ligatures w14:val="none"/>
        </w:rPr>
      </w:pPr>
      <w:r w:rsidRPr="00BF3FC1">
        <w:rPr>
          <w:rFonts w:asciiTheme="majorHAnsi" w:eastAsia="Arial" w:hAnsiTheme="majorHAnsi" w:cstheme="majorHAnsi"/>
          <w:kern w:val="0"/>
          <w:lang w:eastAsia="en-NZ"/>
          <w14:ligatures w14:val="none"/>
        </w:rPr>
        <w:t>For outdoor testing, requirements for wind speed and direction, angle of slope and nature of surface shall be set;</w:t>
      </w:r>
    </w:p>
    <w:p w14:paraId="1C6BBA31" w14:textId="77777777" w:rsidR="00BF3FC1" w:rsidRPr="00BF3FC1" w:rsidRDefault="00BF3FC1" w:rsidP="00BF3FC1">
      <w:pPr>
        <w:numPr>
          <w:ilvl w:val="0"/>
          <w:numId w:val="17"/>
        </w:numPr>
        <w:spacing w:before="120" w:after="240" w:line="240" w:lineRule="auto"/>
        <w:contextualSpacing/>
        <w:jc w:val="both"/>
        <w:rPr>
          <w:rFonts w:asciiTheme="majorHAnsi" w:eastAsia="Arial" w:hAnsiTheme="majorHAnsi" w:cstheme="majorHAnsi"/>
          <w:kern w:val="0"/>
          <w:lang w:eastAsia="en-NZ"/>
          <w14:ligatures w14:val="none"/>
        </w:rPr>
      </w:pPr>
      <w:r w:rsidRPr="00BF3FC1">
        <w:rPr>
          <w:rFonts w:asciiTheme="majorHAnsi" w:eastAsia="Arial" w:hAnsiTheme="majorHAnsi" w:cstheme="majorHAnsi"/>
          <w:kern w:val="0"/>
          <w:lang w:eastAsia="en-NZ"/>
          <w14:ligatures w14:val="none"/>
        </w:rPr>
        <w:t>Outdoor testing shall be carried out in a way that does not cause environmental contamination by overloading the test site;</w:t>
      </w:r>
    </w:p>
    <w:p w14:paraId="6BD2AF7B" w14:textId="77777777" w:rsidR="00BF3FC1" w:rsidRPr="00BF3FC1" w:rsidRDefault="00BF3FC1" w:rsidP="00BF3FC1">
      <w:pPr>
        <w:numPr>
          <w:ilvl w:val="0"/>
          <w:numId w:val="17"/>
        </w:numPr>
        <w:spacing w:before="120" w:after="240" w:line="240" w:lineRule="auto"/>
        <w:contextualSpacing/>
        <w:jc w:val="both"/>
        <w:rPr>
          <w:rFonts w:asciiTheme="majorHAnsi" w:eastAsia="Arial" w:hAnsiTheme="majorHAnsi" w:cstheme="majorHAnsi"/>
          <w:kern w:val="0"/>
          <w:lang w:eastAsia="en-NZ"/>
          <w14:ligatures w14:val="none"/>
        </w:rPr>
      </w:pPr>
      <w:r w:rsidRPr="00BF3FC1">
        <w:rPr>
          <w:rFonts w:asciiTheme="majorHAnsi" w:eastAsia="Arial" w:hAnsiTheme="majorHAnsi" w:cstheme="majorHAnsi"/>
          <w:kern w:val="0"/>
          <w:lang w:eastAsia="en-NZ"/>
          <w14:ligatures w14:val="none"/>
        </w:rPr>
        <w:t>The evenness of nutrient spreading both across and along the direction of spreader travel is important and shall be expressed as a Coefficient of Variation;</w:t>
      </w:r>
    </w:p>
    <w:p w14:paraId="0CA2FF0B" w14:textId="77777777" w:rsidR="00BF3FC1" w:rsidRPr="00BF3FC1" w:rsidRDefault="00BF3FC1" w:rsidP="00BF3FC1">
      <w:pPr>
        <w:numPr>
          <w:ilvl w:val="0"/>
          <w:numId w:val="17"/>
        </w:numPr>
        <w:spacing w:before="120" w:after="240" w:line="240" w:lineRule="auto"/>
        <w:contextualSpacing/>
        <w:jc w:val="both"/>
        <w:rPr>
          <w:rFonts w:asciiTheme="majorHAnsi" w:eastAsia="Arial" w:hAnsiTheme="majorHAnsi" w:cstheme="majorHAnsi"/>
          <w:kern w:val="0"/>
          <w:lang w:eastAsia="en-NZ"/>
          <w14:ligatures w14:val="none"/>
        </w:rPr>
      </w:pPr>
      <w:r w:rsidRPr="00BF3FC1">
        <w:rPr>
          <w:rFonts w:asciiTheme="majorHAnsi" w:eastAsia="Arial" w:hAnsiTheme="majorHAnsi" w:cstheme="majorHAnsi"/>
          <w:kern w:val="0"/>
          <w:lang w:eastAsia="en-NZ"/>
          <w14:ligatures w14:val="none"/>
        </w:rPr>
        <w:t>To be Spreadmark Registered, application units must satisfy the performance standard for transverse CV% of 15% for nitrogenous nutrients and 25% for all other products;</w:t>
      </w:r>
    </w:p>
    <w:p w14:paraId="641EF820" w14:textId="77777777" w:rsidR="00BF3FC1" w:rsidRPr="00BF3FC1" w:rsidRDefault="00BF3FC1" w:rsidP="00BF3FC1">
      <w:pPr>
        <w:numPr>
          <w:ilvl w:val="0"/>
          <w:numId w:val="17"/>
        </w:numPr>
        <w:spacing w:before="120" w:after="240" w:line="240" w:lineRule="auto"/>
        <w:contextualSpacing/>
        <w:jc w:val="both"/>
        <w:rPr>
          <w:rFonts w:asciiTheme="majorHAnsi" w:eastAsia="Arial" w:hAnsiTheme="majorHAnsi" w:cstheme="majorHAnsi"/>
          <w:kern w:val="0"/>
          <w:lang w:eastAsia="en-NZ"/>
          <w14:ligatures w14:val="none"/>
        </w:rPr>
      </w:pPr>
      <w:r w:rsidRPr="00BF3FC1">
        <w:rPr>
          <w:rFonts w:asciiTheme="majorHAnsi" w:eastAsia="Arial" w:hAnsiTheme="majorHAnsi" w:cstheme="majorHAnsi"/>
          <w:kern w:val="0"/>
          <w:lang w:eastAsia="en-NZ"/>
          <w14:ligatures w14:val="none"/>
        </w:rPr>
        <w:t xml:space="preserve">Spreading units shall be tested on a sufficiently wide range of nutrients to provide a guide to the maximum safe bout width for the range of products the spreader distributes; </w:t>
      </w:r>
    </w:p>
    <w:p w14:paraId="1321C722" w14:textId="77777777" w:rsidR="00BF3FC1" w:rsidRPr="00BF3FC1" w:rsidRDefault="00BF3FC1" w:rsidP="00BF3FC1">
      <w:pPr>
        <w:numPr>
          <w:ilvl w:val="0"/>
          <w:numId w:val="17"/>
        </w:numPr>
        <w:spacing w:before="120" w:after="240" w:line="240" w:lineRule="auto"/>
        <w:contextualSpacing/>
        <w:jc w:val="both"/>
        <w:rPr>
          <w:rFonts w:asciiTheme="majorHAnsi" w:eastAsia="Arial" w:hAnsiTheme="majorHAnsi" w:cstheme="majorHAnsi"/>
          <w:kern w:val="0"/>
          <w:lang w:eastAsia="en-NZ"/>
          <w14:ligatures w14:val="none"/>
        </w:rPr>
      </w:pPr>
      <w:r w:rsidRPr="00BF3FC1">
        <w:rPr>
          <w:rFonts w:asciiTheme="majorHAnsi" w:eastAsia="Arial" w:hAnsiTheme="majorHAnsi" w:cstheme="majorHAnsi"/>
          <w:kern w:val="0"/>
          <w:lang w:eastAsia="en-NZ"/>
          <w14:ligatures w14:val="none"/>
        </w:rPr>
        <w:t>Spreader certification testing shall be done at regular intervals as prescribed in the Spreadmark Code of Practice;</w:t>
      </w:r>
    </w:p>
    <w:p w14:paraId="11E11F39" w14:textId="77777777" w:rsidR="00BF3FC1" w:rsidRPr="00BF3FC1" w:rsidRDefault="00BF3FC1" w:rsidP="00BF3FC1">
      <w:pPr>
        <w:numPr>
          <w:ilvl w:val="0"/>
          <w:numId w:val="17"/>
        </w:numPr>
        <w:spacing w:before="120" w:after="240" w:line="240" w:lineRule="auto"/>
        <w:contextualSpacing/>
        <w:jc w:val="both"/>
        <w:rPr>
          <w:rFonts w:asciiTheme="majorHAnsi" w:eastAsia="Arial" w:hAnsiTheme="majorHAnsi" w:cstheme="majorHAnsi"/>
          <w:kern w:val="0"/>
          <w:lang w:eastAsia="en-NZ"/>
          <w14:ligatures w14:val="none"/>
        </w:rPr>
      </w:pPr>
      <w:r w:rsidRPr="00BF3FC1">
        <w:rPr>
          <w:rFonts w:asciiTheme="majorHAnsi" w:eastAsia="Arial" w:hAnsiTheme="majorHAnsi" w:cstheme="majorHAnsi"/>
          <w:kern w:val="0"/>
          <w:lang w:eastAsia="en-NZ"/>
          <w14:ligatures w14:val="none"/>
        </w:rPr>
        <w:lastRenderedPageBreak/>
        <w:t>Every certified spreader shall have, a unique identification number;</w:t>
      </w:r>
    </w:p>
    <w:p w14:paraId="04778635" w14:textId="77777777" w:rsidR="00BF3FC1" w:rsidRPr="00BF3FC1" w:rsidRDefault="00BF3FC1" w:rsidP="00BF3FC1">
      <w:pPr>
        <w:numPr>
          <w:ilvl w:val="0"/>
          <w:numId w:val="17"/>
        </w:numPr>
        <w:spacing w:before="120" w:after="240" w:line="240" w:lineRule="auto"/>
        <w:contextualSpacing/>
        <w:jc w:val="both"/>
        <w:rPr>
          <w:rFonts w:asciiTheme="majorHAnsi" w:eastAsia="Arial" w:hAnsiTheme="majorHAnsi" w:cstheme="majorHAnsi"/>
          <w:kern w:val="0"/>
          <w:lang w:eastAsia="en-NZ"/>
          <w14:ligatures w14:val="none"/>
        </w:rPr>
      </w:pPr>
      <w:r w:rsidRPr="00BF3FC1">
        <w:rPr>
          <w:rFonts w:asciiTheme="majorHAnsi" w:eastAsia="Arial" w:hAnsiTheme="majorHAnsi" w:cstheme="majorHAnsi"/>
          <w:kern w:val="0"/>
          <w:lang w:eastAsia="en-NZ"/>
          <w14:ligatures w14:val="none"/>
        </w:rPr>
        <w:t>For groundspread vehicles spreader certification lapses if the bin changes to another vehicle;</w:t>
      </w:r>
    </w:p>
    <w:p w14:paraId="78645114" w14:textId="77777777" w:rsidR="00BF3FC1" w:rsidRPr="00BF3FC1" w:rsidRDefault="00BF3FC1" w:rsidP="00BF3FC1">
      <w:pPr>
        <w:numPr>
          <w:ilvl w:val="0"/>
          <w:numId w:val="17"/>
        </w:numPr>
        <w:spacing w:before="120" w:after="240" w:line="240" w:lineRule="auto"/>
        <w:contextualSpacing/>
        <w:jc w:val="both"/>
        <w:rPr>
          <w:rFonts w:asciiTheme="majorHAnsi" w:eastAsia="Arial" w:hAnsiTheme="majorHAnsi" w:cstheme="majorHAnsi"/>
          <w:kern w:val="0"/>
          <w:lang w:eastAsia="en-NZ"/>
          <w14:ligatures w14:val="none"/>
        </w:rPr>
      </w:pPr>
      <w:r w:rsidRPr="00BF3FC1">
        <w:rPr>
          <w:rFonts w:asciiTheme="majorHAnsi" w:eastAsia="Arial" w:hAnsiTheme="majorHAnsi" w:cstheme="majorHAnsi"/>
          <w:kern w:val="0"/>
          <w:lang w:eastAsia="en-NZ"/>
          <w14:ligatures w14:val="none"/>
        </w:rPr>
        <w:t xml:space="preserve">When spreaders are sold from a Spreadmark registered company to another Spreadmark registered company, the current Spreadmark Test Certificates can be transferred to the new owner. If the sale is to a non-Spreadmark registered </w:t>
      </w:r>
      <w:proofErr w:type="gramStart"/>
      <w:r w:rsidRPr="00BF3FC1">
        <w:rPr>
          <w:rFonts w:asciiTheme="majorHAnsi" w:eastAsia="Arial" w:hAnsiTheme="majorHAnsi" w:cstheme="majorHAnsi"/>
          <w:kern w:val="0"/>
          <w:lang w:eastAsia="en-NZ"/>
          <w14:ligatures w14:val="none"/>
        </w:rPr>
        <w:t>company</w:t>
      </w:r>
      <w:proofErr w:type="gramEnd"/>
      <w:r w:rsidRPr="00BF3FC1">
        <w:rPr>
          <w:rFonts w:asciiTheme="majorHAnsi" w:eastAsia="Arial" w:hAnsiTheme="majorHAnsi" w:cstheme="majorHAnsi"/>
          <w:kern w:val="0"/>
          <w:lang w:eastAsia="en-NZ"/>
          <w14:ligatures w14:val="none"/>
        </w:rPr>
        <w:t xml:space="preserve"> then the certificates lapse.</w:t>
      </w:r>
      <w:bookmarkStart w:id="0" w:name="_bcwe2qypb8r2" w:colFirst="0" w:colLast="0"/>
      <w:bookmarkEnd w:id="0"/>
    </w:p>
    <w:p w14:paraId="1C8A2638" w14:textId="77777777" w:rsidR="00BF3FC1" w:rsidRDefault="00BF3FC1" w:rsidP="00546ECE">
      <w:pPr>
        <w:spacing w:line="240" w:lineRule="auto"/>
        <w:jc w:val="both"/>
        <w:rPr>
          <w:b/>
          <w:bCs/>
          <w:lang w:val="en-US"/>
        </w:rPr>
      </w:pPr>
    </w:p>
    <w:p w14:paraId="69B98D12" w14:textId="297C31AB" w:rsidR="005050CE" w:rsidRPr="002D6578" w:rsidRDefault="005050CE" w:rsidP="00546ECE">
      <w:pPr>
        <w:spacing w:line="240" w:lineRule="auto"/>
        <w:jc w:val="both"/>
        <w:rPr>
          <w:b/>
          <w:bCs/>
          <w:lang w:val="en-US"/>
        </w:rPr>
      </w:pPr>
      <w:r w:rsidRPr="002D6578">
        <w:rPr>
          <w:b/>
          <w:bCs/>
          <w:lang w:val="en-US"/>
        </w:rPr>
        <w:t>1.</w:t>
      </w:r>
      <w:r w:rsidR="00391219">
        <w:rPr>
          <w:b/>
          <w:bCs/>
          <w:lang w:val="en-US"/>
        </w:rPr>
        <w:t>Background</w:t>
      </w:r>
    </w:p>
    <w:p w14:paraId="0E65DCFC" w14:textId="403E5590" w:rsidR="005050CE" w:rsidRPr="002D6578" w:rsidRDefault="005050CE" w:rsidP="00546ECE">
      <w:pPr>
        <w:spacing w:line="240" w:lineRule="auto"/>
        <w:jc w:val="both"/>
        <w:rPr>
          <w:lang w:val="en-US"/>
        </w:rPr>
      </w:pPr>
      <w:r w:rsidRPr="002D6578">
        <w:rPr>
          <w:lang w:val="en-US"/>
        </w:rPr>
        <w:t xml:space="preserve">Conventional boom sprayers apply liquids through manufactured hydraulic nozzles usually at 0.5m spacing.   Bout width is predetermined by this spacing and the number of nozzles.  </w:t>
      </w:r>
      <w:proofErr w:type="gramStart"/>
      <w:r w:rsidR="00BF0527">
        <w:rPr>
          <w:lang w:val="en-US"/>
        </w:rPr>
        <w:t>So</w:t>
      </w:r>
      <w:proofErr w:type="gramEnd"/>
      <w:r w:rsidR="00BF0527">
        <w:rPr>
          <w:lang w:val="en-US"/>
        </w:rPr>
        <w:t xml:space="preserve"> f</w:t>
      </w:r>
      <w:r w:rsidRPr="002D6578">
        <w:rPr>
          <w:lang w:val="en-US"/>
        </w:rPr>
        <w:t>or example</w:t>
      </w:r>
      <w:r w:rsidR="005B1265">
        <w:rPr>
          <w:lang w:val="en-US"/>
        </w:rPr>
        <w:t>,</w:t>
      </w:r>
      <w:r w:rsidRPr="002D6578">
        <w:rPr>
          <w:lang w:val="en-US"/>
        </w:rPr>
        <w:t xml:space="preserve"> 24 nozzles at 0.5m spacing will cover </w:t>
      </w:r>
      <w:r w:rsidR="00BF0527">
        <w:rPr>
          <w:lang w:val="en-US"/>
        </w:rPr>
        <w:t xml:space="preserve">a </w:t>
      </w:r>
      <w:r w:rsidRPr="002D6578">
        <w:rPr>
          <w:lang w:val="en-US"/>
        </w:rPr>
        <w:t xml:space="preserve">12m width.   </w:t>
      </w:r>
      <w:r w:rsidR="00FE2DEA">
        <w:rPr>
          <w:lang w:val="en-US"/>
        </w:rPr>
        <w:t xml:space="preserve">For </w:t>
      </w:r>
      <w:r w:rsidR="00CB3D16">
        <w:rPr>
          <w:lang w:val="en-US"/>
        </w:rPr>
        <w:t>boom sprayers attached to vehicles t</w:t>
      </w:r>
      <w:r w:rsidRPr="002D6578">
        <w:rPr>
          <w:lang w:val="en-US"/>
        </w:rPr>
        <w:t xml:space="preserve">he distance between the nozzles and the target (soil) is significantly less with a conventional boom at 0.4 to 0.8m as compared </w:t>
      </w:r>
      <w:r w:rsidR="008B00A9">
        <w:rPr>
          <w:lang w:val="en-US"/>
        </w:rPr>
        <w:t xml:space="preserve">booms attached to </w:t>
      </w:r>
      <w:r w:rsidR="00584030">
        <w:rPr>
          <w:lang w:val="en-US"/>
        </w:rPr>
        <w:t xml:space="preserve">aircraft and UAVs, and </w:t>
      </w:r>
      <w:r w:rsidR="00CB3D16">
        <w:rPr>
          <w:lang w:val="en-US"/>
        </w:rPr>
        <w:t xml:space="preserve">to </w:t>
      </w:r>
      <w:r w:rsidRPr="002D6578">
        <w:rPr>
          <w:lang w:val="en-US"/>
        </w:rPr>
        <w:t xml:space="preserve">spinning discs applying granule nutrient where the distance </w:t>
      </w:r>
      <w:r w:rsidR="00584030">
        <w:rPr>
          <w:lang w:val="en-US"/>
        </w:rPr>
        <w:t xml:space="preserve">will be much greater especially </w:t>
      </w:r>
      <w:r w:rsidR="004136A7">
        <w:rPr>
          <w:lang w:val="en-US"/>
        </w:rPr>
        <w:t>when applied by helicopters or UAVs</w:t>
      </w:r>
      <w:r w:rsidRPr="002D6578">
        <w:rPr>
          <w:lang w:val="en-US"/>
        </w:rPr>
        <w:t xml:space="preserve">.  As a result, conventional boom applications of liquid nutrient </w:t>
      </w:r>
      <w:r w:rsidR="00C033AA">
        <w:rPr>
          <w:lang w:val="en-US"/>
        </w:rPr>
        <w:t xml:space="preserve">from vehicles </w:t>
      </w:r>
      <w:r w:rsidRPr="002D6578">
        <w:rPr>
          <w:lang w:val="en-US"/>
        </w:rPr>
        <w:t>achieve relatively discrete and accurate application rates.</w:t>
      </w:r>
    </w:p>
    <w:p w14:paraId="74DB632B" w14:textId="77777777" w:rsidR="005050CE" w:rsidRPr="002D6578" w:rsidRDefault="005050CE" w:rsidP="00546ECE">
      <w:pPr>
        <w:spacing w:line="240" w:lineRule="auto"/>
        <w:jc w:val="both"/>
        <w:rPr>
          <w:lang w:val="en-US"/>
        </w:rPr>
      </w:pPr>
      <w:r w:rsidRPr="002D6578">
        <w:rPr>
          <w:lang w:val="en-US"/>
        </w:rPr>
        <w:t xml:space="preserve">There are two primary factors that determine whether liquid nutrient is applied evenly and at the correct </w:t>
      </w:r>
      <w:proofErr w:type="gramStart"/>
      <w:r w:rsidRPr="002D6578">
        <w:rPr>
          <w:lang w:val="en-US"/>
        </w:rPr>
        <w:t>rate;</w:t>
      </w:r>
      <w:proofErr w:type="gramEnd"/>
      <w:r w:rsidRPr="002D6578">
        <w:rPr>
          <w:lang w:val="en-US"/>
        </w:rPr>
        <w:t xml:space="preserve"> the flow rate of the liquid nutrient and the quality and performance of the nozzles. </w:t>
      </w:r>
    </w:p>
    <w:p w14:paraId="705D7B1F" w14:textId="234F4263" w:rsidR="005050CE" w:rsidRPr="002D6578" w:rsidRDefault="005050CE" w:rsidP="00546ECE">
      <w:pPr>
        <w:spacing w:line="240" w:lineRule="auto"/>
        <w:jc w:val="both"/>
        <w:rPr>
          <w:lang w:val="en-US"/>
        </w:rPr>
      </w:pPr>
      <w:r w:rsidRPr="002D6578">
        <w:rPr>
          <w:b/>
          <w:bCs/>
          <w:lang w:val="en-US"/>
        </w:rPr>
        <w:t>Flow rate</w:t>
      </w:r>
      <w:r w:rsidRPr="002D6578">
        <w:rPr>
          <w:lang w:val="en-US"/>
        </w:rPr>
        <w:t xml:space="preserve"> - For conventional boom sprayers the liquid nutrient flow rate determines the application rate which is a function of the spray pressure.  The average flow rate is measured either directly when calibrating the sprayer controller or can be determined by experience based on the amount of product applied per unit area.  For computer controlled liquid nutrient applications, system pressure is increased or decreased in relation to forward speed to maintain target application rate</w:t>
      </w:r>
      <w:r w:rsidR="00131196">
        <w:rPr>
          <w:rStyle w:val="FootnoteReference"/>
          <w:lang w:val="en-US"/>
        </w:rPr>
        <w:footnoteReference w:id="1"/>
      </w:r>
      <w:r w:rsidR="00131196">
        <w:rPr>
          <w:lang w:val="en-US"/>
        </w:rPr>
        <w:t>.</w:t>
      </w:r>
      <w:r w:rsidRPr="002D6578">
        <w:rPr>
          <w:lang w:val="en-US"/>
        </w:rPr>
        <w:t xml:space="preserve">  For these tests it is assumed the flow and speed inputs to the sprayer controller are accurate and the operator is continually comparing volumes applied with area covered.  Flow and speed measurement devices may have also been checked by a 3rd party sprayer calibrator.</w:t>
      </w:r>
    </w:p>
    <w:p w14:paraId="4D493F55" w14:textId="77777777" w:rsidR="005050CE" w:rsidRPr="002D6578" w:rsidRDefault="005050CE" w:rsidP="00546ECE">
      <w:pPr>
        <w:spacing w:line="240" w:lineRule="auto"/>
        <w:jc w:val="both"/>
        <w:rPr>
          <w:lang w:val="en-US"/>
        </w:rPr>
      </w:pPr>
      <w:r w:rsidRPr="002D6578">
        <w:rPr>
          <w:b/>
          <w:bCs/>
          <w:lang w:val="en-US"/>
        </w:rPr>
        <w:t xml:space="preserve">Nozzles </w:t>
      </w:r>
      <w:r w:rsidRPr="002D6578">
        <w:rPr>
          <w:lang w:val="en-US"/>
        </w:rPr>
        <w:t xml:space="preserve">- At least two types of </w:t>
      </w:r>
      <w:proofErr w:type="gramStart"/>
      <w:r w:rsidRPr="002D6578">
        <w:rPr>
          <w:lang w:val="en-US"/>
        </w:rPr>
        <w:t>nozzle</w:t>
      </w:r>
      <w:proofErr w:type="gramEnd"/>
      <w:r w:rsidRPr="002D6578">
        <w:rPr>
          <w:lang w:val="en-US"/>
        </w:rPr>
        <w:t xml:space="preserve"> may be used.  Specialist nozzles for liquid nutrient application or standard (flat fan type) spray nozzles designed for application of herbicides, insecticides and fungicides.   </w:t>
      </w:r>
    </w:p>
    <w:p w14:paraId="0E0F8F73" w14:textId="7E8A1874" w:rsidR="005050CE" w:rsidRPr="002D6578" w:rsidRDefault="005050CE" w:rsidP="00546ECE">
      <w:pPr>
        <w:spacing w:line="240" w:lineRule="auto"/>
        <w:jc w:val="both"/>
        <w:rPr>
          <w:b/>
          <w:bCs/>
          <w:lang w:val="en-US"/>
        </w:rPr>
      </w:pPr>
      <w:r w:rsidRPr="002D6578">
        <w:rPr>
          <w:b/>
          <w:bCs/>
          <w:lang w:val="en-US"/>
        </w:rPr>
        <w:t>Nutrient Nozzles</w:t>
      </w:r>
      <w:r w:rsidR="00EA7FA0">
        <w:rPr>
          <w:b/>
          <w:bCs/>
          <w:lang w:val="en-US"/>
        </w:rPr>
        <w:t xml:space="preserve"> (Groundspread Only)</w:t>
      </w:r>
      <w:r w:rsidRPr="002D6578">
        <w:rPr>
          <w:b/>
          <w:bCs/>
          <w:lang w:val="en-US"/>
        </w:rPr>
        <w:t xml:space="preserve"> </w:t>
      </w:r>
    </w:p>
    <w:p w14:paraId="05FEF404" w14:textId="77777777" w:rsidR="005050CE" w:rsidRPr="002D6578" w:rsidRDefault="005050CE" w:rsidP="00546ECE">
      <w:pPr>
        <w:spacing w:line="240" w:lineRule="auto"/>
        <w:jc w:val="both"/>
        <w:rPr>
          <w:lang w:val="en-US"/>
        </w:rPr>
      </w:pPr>
      <w:r w:rsidRPr="002D6578">
        <w:rPr>
          <w:lang w:val="en-US"/>
        </w:rPr>
        <w:t xml:space="preserve">Specialist nozzles apply liquid nutrient as a stream.  These are preferred to standard nozzles which can cause leaf </w:t>
      </w:r>
      <w:proofErr w:type="gramStart"/>
      <w:r w:rsidRPr="002D6578">
        <w:rPr>
          <w:lang w:val="en-US"/>
        </w:rPr>
        <w:t>burn</w:t>
      </w:r>
      <w:proofErr w:type="gramEnd"/>
      <w:r w:rsidRPr="002D6578">
        <w:rPr>
          <w:lang w:val="en-US"/>
        </w:rPr>
        <w:t xml:space="preserve">.  Specialist nutrient nozzles produce streams of liquid at intervals of 0.1m or less along the width of a conventional spray boom.  Common liquid nutrient nozzle options are shown in Figure 1.  </w:t>
      </w:r>
    </w:p>
    <w:p w14:paraId="20E3EAA3" w14:textId="77777777" w:rsidR="005050CE" w:rsidRPr="005050CE" w:rsidRDefault="005050CE" w:rsidP="005050CE">
      <w:pPr>
        <w:spacing w:line="240" w:lineRule="auto"/>
        <w:rPr>
          <w:lang w:val="en-US"/>
        </w:rPr>
      </w:pPr>
      <w:r w:rsidRPr="005050CE">
        <w:rPr>
          <w:noProof/>
        </w:rPr>
        <w:lastRenderedPageBreak/>
        <w:drawing>
          <wp:inline distT="0" distB="0" distL="0" distR="0" wp14:anchorId="70C556E6" wp14:editId="5DA3A7F8">
            <wp:extent cx="4424289" cy="2008233"/>
            <wp:effectExtent l="0" t="0" r="0" b="0"/>
            <wp:docPr id="1194437214" name="Picture 1" descr="A close-up of a tra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37214" name="Picture 1" descr="A close-up of a tractor&#10;&#10;Description automatically generated"/>
                    <pic:cNvPicPr/>
                  </pic:nvPicPr>
                  <pic:blipFill>
                    <a:blip r:embed="rId13"/>
                    <a:stretch>
                      <a:fillRect/>
                    </a:stretch>
                  </pic:blipFill>
                  <pic:spPr>
                    <a:xfrm>
                      <a:off x="0" y="0"/>
                      <a:ext cx="4455003" cy="2022175"/>
                    </a:xfrm>
                    <a:prstGeom prst="rect">
                      <a:avLst/>
                    </a:prstGeom>
                  </pic:spPr>
                </pic:pic>
              </a:graphicData>
            </a:graphic>
          </wp:inline>
        </w:drawing>
      </w:r>
    </w:p>
    <w:p w14:paraId="62AD36FF" w14:textId="77777777" w:rsidR="005050CE" w:rsidRPr="005050CE" w:rsidRDefault="005050CE" w:rsidP="005050CE">
      <w:pPr>
        <w:spacing w:line="240" w:lineRule="auto"/>
        <w:rPr>
          <w:b/>
          <w:bCs/>
          <w:lang w:val="en-US"/>
        </w:rPr>
      </w:pPr>
      <w:r w:rsidRPr="005050CE">
        <w:rPr>
          <w:b/>
          <w:bCs/>
          <w:lang w:val="en-US"/>
        </w:rPr>
        <w:t xml:space="preserve">Figure </w:t>
      </w:r>
      <w:proofErr w:type="gramStart"/>
      <w:r w:rsidRPr="005050CE">
        <w:rPr>
          <w:b/>
          <w:bCs/>
          <w:lang w:val="en-US"/>
        </w:rPr>
        <w:t>1  Common</w:t>
      </w:r>
      <w:proofErr w:type="gramEnd"/>
      <w:r w:rsidRPr="005050CE">
        <w:rPr>
          <w:b/>
          <w:bCs/>
          <w:lang w:val="en-US"/>
        </w:rPr>
        <w:t xml:space="preserve"> Liquid nutrient nozzle types</w:t>
      </w:r>
    </w:p>
    <w:p w14:paraId="2A23AEED" w14:textId="77777777" w:rsidR="005050CE" w:rsidRDefault="005050CE" w:rsidP="005050CE">
      <w:pPr>
        <w:spacing w:line="240" w:lineRule="auto"/>
        <w:rPr>
          <w:lang w:val="en-US"/>
        </w:rPr>
      </w:pPr>
      <w:r w:rsidRPr="005050CE">
        <w:rPr>
          <w:lang w:val="en-US"/>
        </w:rPr>
        <w:t xml:space="preserve">Reports of evenness of spread for nutrient nozzles are less common than for standard nozzles.  One report shows a C of V of 3.4% for a </w:t>
      </w:r>
      <w:proofErr w:type="spellStart"/>
      <w:r w:rsidRPr="005050CE">
        <w:rPr>
          <w:lang w:val="en-US"/>
        </w:rPr>
        <w:t>Lechlar</w:t>
      </w:r>
      <w:proofErr w:type="spellEnd"/>
      <w:r w:rsidRPr="005050CE">
        <w:rPr>
          <w:lang w:val="en-US"/>
        </w:rPr>
        <w:t xml:space="preserve"> FD 04 nozzle (Figure 2).</w:t>
      </w:r>
    </w:p>
    <w:p w14:paraId="75B35C6B" w14:textId="77777777" w:rsidR="007A6B5C" w:rsidRPr="005050CE" w:rsidRDefault="007A6B5C" w:rsidP="005050CE">
      <w:pPr>
        <w:spacing w:line="240" w:lineRule="auto"/>
        <w:rPr>
          <w:lang w:val="en-US"/>
        </w:rPr>
      </w:pPr>
    </w:p>
    <w:p w14:paraId="35FA8F38" w14:textId="77777777" w:rsidR="005050CE" w:rsidRPr="005050CE" w:rsidRDefault="005050CE" w:rsidP="005050CE">
      <w:pPr>
        <w:spacing w:line="240" w:lineRule="auto"/>
        <w:rPr>
          <w:lang w:val="en-US"/>
        </w:rPr>
      </w:pPr>
      <w:r w:rsidRPr="005050CE">
        <w:rPr>
          <w:rFonts w:ascii="Arial" w:hAnsi="Arial" w:cs="Arial"/>
          <w:noProof/>
          <w:color w:val="000000"/>
          <w:bdr w:val="none" w:sz="0" w:space="0" w:color="auto" w:frame="1"/>
        </w:rPr>
        <w:drawing>
          <wp:inline distT="0" distB="0" distL="0" distR="0" wp14:anchorId="6A6FBD04" wp14:editId="5BB3402E">
            <wp:extent cx="4152900" cy="1789612"/>
            <wp:effectExtent l="0" t="0" r="0" b="1270"/>
            <wp:docPr id="1079006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9143" cy="1796612"/>
                    </a:xfrm>
                    <a:prstGeom prst="rect">
                      <a:avLst/>
                    </a:prstGeom>
                    <a:noFill/>
                    <a:ln>
                      <a:noFill/>
                    </a:ln>
                  </pic:spPr>
                </pic:pic>
              </a:graphicData>
            </a:graphic>
          </wp:inline>
        </w:drawing>
      </w:r>
    </w:p>
    <w:p w14:paraId="68551801" w14:textId="77777777" w:rsidR="005050CE" w:rsidRPr="005050CE" w:rsidRDefault="005050CE" w:rsidP="005050CE">
      <w:pPr>
        <w:spacing w:line="240" w:lineRule="auto"/>
        <w:rPr>
          <w:lang w:val="en-US"/>
        </w:rPr>
      </w:pPr>
      <w:r w:rsidRPr="005050CE">
        <w:rPr>
          <w:noProof/>
        </w:rPr>
        <w:drawing>
          <wp:inline distT="0" distB="0" distL="0" distR="0" wp14:anchorId="06B21CFA" wp14:editId="7A0E4463">
            <wp:extent cx="927100" cy="1488095"/>
            <wp:effectExtent l="0" t="0" r="6350" b="0"/>
            <wp:docPr id="1955651383" name="Picture 2" descr="A red plastic object with a h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51383" name="Picture 2" descr="A red plastic object with a ho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1285" cy="1494812"/>
                    </a:xfrm>
                    <a:prstGeom prst="rect">
                      <a:avLst/>
                    </a:prstGeom>
                    <a:noFill/>
                    <a:ln>
                      <a:noFill/>
                    </a:ln>
                  </pic:spPr>
                </pic:pic>
              </a:graphicData>
            </a:graphic>
          </wp:inline>
        </w:drawing>
      </w:r>
    </w:p>
    <w:p w14:paraId="2386D534" w14:textId="5F2C8F6C" w:rsidR="005050CE" w:rsidRPr="006755B7" w:rsidRDefault="005050CE" w:rsidP="006755B7">
      <w:pPr>
        <w:spacing w:line="240" w:lineRule="auto"/>
        <w:jc w:val="both"/>
        <w:rPr>
          <w:rFonts w:cstheme="minorHAnsi"/>
          <w:b/>
          <w:bCs/>
          <w:lang w:val="en-US"/>
        </w:rPr>
      </w:pPr>
      <w:r w:rsidRPr="006755B7">
        <w:rPr>
          <w:rFonts w:cstheme="minorHAnsi"/>
          <w:b/>
          <w:bCs/>
          <w:lang w:val="en-US"/>
        </w:rPr>
        <w:t xml:space="preserve">Figure </w:t>
      </w:r>
      <w:r w:rsidR="00BF201A" w:rsidRPr="006755B7">
        <w:rPr>
          <w:rFonts w:cstheme="minorHAnsi"/>
          <w:b/>
          <w:bCs/>
          <w:lang w:val="en-US"/>
        </w:rPr>
        <w:t>2 Evenness</w:t>
      </w:r>
      <w:r w:rsidRPr="006755B7">
        <w:rPr>
          <w:rFonts w:cstheme="minorHAnsi"/>
          <w:b/>
          <w:bCs/>
          <w:lang w:val="en-US"/>
        </w:rPr>
        <w:t xml:space="preserve"> of spread for a Liquid nutrient nozzle</w:t>
      </w:r>
    </w:p>
    <w:p w14:paraId="06ADE284" w14:textId="03648706" w:rsidR="005050CE" w:rsidRPr="006755B7" w:rsidRDefault="005050CE" w:rsidP="006755B7">
      <w:pPr>
        <w:spacing w:line="240" w:lineRule="auto"/>
        <w:jc w:val="both"/>
        <w:rPr>
          <w:rFonts w:cstheme="minorHAnsi"/>
          <w:b/>
          <w:bCs/>
          <w:lang w:val="en-US"/>
        </w:rPr>
      </w:pPr>
      <w:r w:rsidRPr="006755B7">
        <w:rPr>
          <w:rFonts w:cstheme="minorHAnsi"/>
          <w:b/>
          <w:bCs/>
          <w:lang w:val="en-US"/>
        </w:rPr>
        <w:t>Standard Spray nozzles (flat fans)</w:t>
      </w:r>
    </w:p>
    <w:p w14:paraId="57D7A563" w14:textId="15543D2D" w:rsidR="005050CE" w:rsidRPr="006755B7" w:rsidRDefault="005050CE" w:rsidP="006755B7">
      <w:pPr>
        <w:spacing w:line="240" w:lineRule="auto"/>
        <w:jc w:val="both"/>
        <w:rPr>
          <w:rFonts w:cstheme="minorHAnsi"/>
          <w:lang w:val="en-US"/>
        </w:rPr>
      </w:pPr>
      <w:r w:rsidRPr="006755B7">
        <w:rPr>
          <w:rFonts w:cstheme="minorHAnsi"/>
          <w:lang w:val="en-US"/>
        </w:rPr>
        <w:t xml:space="preserve">Standard nozzles used for applying agrichemicals may also be used to apply </w:t>
      </w:r>
      <w:proofErr w:type="gramStart"/>
      <w:r w:rsidRPr="006755B7">
        <w:rPr>
          <w:rFonts w:cstheme="minorHAnsi"/>
          <w:lang w:val="en-US"/>
        </w:rPr>
        <w:t>nutrient</w:t>
      </w:r>
      <w:proofErr w:type="gramEnd"/>
      <w:r w:rsidRPr="006755B7">
        <w:rPr>
          <w:rFonts w:cstheme="minorHAnsi"/>
          <w:lang w:val="en-US"/>
        </w:rPr>
        <w:t xml:space="preserve"> in some situations.  These precisely manufactured hydraulic nozzles are usually at 0.5m spacing along the spray boom and are manufactured in ISO certified facilities.  </w:t>
      </w:r>
      <w:r w:rsidR="00E418BE">
        <w:rPr>
          <w:rFonts w:cstheme="minorHAnsi"/>
          <w:lang w:val="en-US"/>
        </w:rPr>
        <w:t xml:space="preserve">For groundspread </w:t>
      </w:r>
      <w:r w:rsidR="0045581B">
        <w:rPr>
          <w:rFonts w:cstheme="minorHAnsi"/>
          <w:lang w:val="en-US"/>
        </w:rPr>
        <w:t>t</w:t>
      </w:r>
      <w:r w:rsidRPr="006755B7">
        <w:rPr>
          <w:rFonts w:cstheme="minorHAnsi"/>
          <w:lang w:val="en-US"/>
        </w:rPr>
        <w:t xml:space="preserve">hey are designed to achieve a coefficient of variation (C of V) of about 6% for evenness of application transverse to the forward movement of the vehicle.  This low level of C of V requires that all nozzles on the boom are of the same size, produce the same pattern, are arranged correctly on the boom and the boom is operating at an appropriate height above the target. </w:t>
      </w:r>
    </w:p>
    <w:p w14:paraId="7930DE5C" w14:textId="77777777" w:rsidR="00A5174D" w:rsidRPr="0098498B" w:rsidRDefault="005050CE" w:rsidP="00703361">
      <w:pPr>
        <w:pStyle w:val="ListParagraph"/>
        <w:numPr>
          <w:ilvl w:val="0"/>
          <w:numId w:val="16"/>
        </w:numPr>
        <w:spacing w:line="240" w:lineRule="auto"/>
        <w:jc w:val="both"/>
        <w:rPr>
          <w:rFonts w:cstheme="minorHAnsi"/>
          <w:lang w:val="en-US"/>
        </w:rPr>
      </w:pPr>
      <w:r w:rsidRPr="007D1F2C">
        <w:rPr>
          <w:rFonts w:cstheme="minorHAnsi"/>
          <w:b/>
          <w:bCs/>
          <w:lang w:val="en-US"/>
        </w:rPr>
        <w:t>General</w:t>
      </w:r>
    </w:p>
    <w:p w14:paraId="4C993B8F" w14:textId="77777777" w:rsidR="0098498B" w:rsidRDefault="0098498B" w:rsidP="0098498B">
      <w:pPr>
        <w:pStyle w:val="ListParagraph"/>
        <w:spacing w:line="240" w:lineRule="auto"/>
        <w:ind w:left="360"/>
        <w:jc w:val="both"/>
        <w:rPr>
          <w:rFonts w:cstheme="minorHAnsi"/>
          <w:lang w:val="en-US"/>
        </w:rPr>
      </w:pPr>
    </w:p>
    <w:p w14:paraId="06F0B317" w14:textId="10D93E1F" w:rsidR="005050CE" w:rsidRPr="007D1F2C" w:rsidRDefault="005050CE" w:rsidP="0098498B">
      <w:pPr>
        <w:pStyle w:val="ListParagraph"/>
        <w:spacing w:line="240" w:lineRule="auto"/>
        <w:ind w:left="0"/>
        <w:jc w:val="both"/>
        <w:rPr>
          <w:rFonts w:cstheme="minorHAnsi"/>
          <w:lang w:val="en-US"/>
        </w:rPr>
      </w:pPr>
      <w:r w:rsidRPr="007D1F2C">
        <w:rPr>
          <w:rFonts w:cstheme="minorHAnsi"/>
          <w:lang w:val="en-US"/>
        </w:rPr>
        <w:lastRenderedPageBreak/>
        <w:t xml:space="preserve">Manufacturers specifications list pressure and flow expectations by nozzle.   For </w:t>
      </w:r>
      <w:proofErr w:type="gramStart"/>
      <w:r w:rsidRPr="007D1F2C">
        <w:rPr>
          <w:rFonts w:cstheme="minorHAnsi"/>
          <w:lang w:val="en-US"/>
        </w:rPr>
        <w:t>example</w:t>
      </w:r>
      <w:proofErr w:type="gramEnd"/>
      <w:r w:rsidRPr="007D1F2C">
        <w:rPr>
          <w:rFonts w:cstheme="minorHAnsi"/>
          <w:lang w:val="en-US"/>
        </w:rPr>
        <w:t xml:space="preserve"> a typical nozzle might be a </w:t>
      </w:r>
      <w:proofErr w:type="spellStart"/>
      <w:r w:rsidRPr="007D1F2C">
        <w:rPr>
          <w:rFonts w:cstheme="minorHAnsi"/>
          <w:lang w:val="en-US"/>
        </w:rPr>
        <w:t>Teejet</w:t>
      </w:r>
      <w:proofErr w:type="spellEnd"/>
      <w:r w:rsidRPr="007D1F2C">
        <w:rPr>
          <w:rFonts w:cstheme="minorHAnsi"/>
          <w:lang w:val="en-US"/>
        </w:rPr>
        <w:t xml:space="preserve"> </w:t>
      </w:r>
      <w:proofErr w:type="spellStart"/>
      <w:r w:rsidRPr="007D1F2C">
        <w:rPr>
          <w:rFonts w:cstheme="minorHAnsi"/>
          <w:lang w:val="en-US"/>
        </w:rPr>
        <w:t>StreamJet</w:t>
      </w:r>
      <w:proofErr w:type="spellEnd"/>
      <w:r w:rsidRPr="007D1F2C">
        <w:rPr>
          <w:rFonts w:cstheme="minorHAnsi"/>
          <w:lang w:val="en-US"/>
        </w:rPr>
        <w:t xml:space="preserve"> SJ7-06—VP.  Flow charts show </w:t>
      </w:r>
      <w:proofErr w:type="gramStart"/>
      <w:r w:rsidRPr="007D1F2C">
        <w:rPr>
          <w:rFonts w:cstheme="minorHAnsi"/>
          <w:lang w:val="en-US"/>
        </w:rPr>
        <w:t>expected</w:t>
      </w:r>
      <w:proofErr w:type="gramEnd"/>
      <w:r w:rsidRPr="007D1F2C">
        <w:rPr>
          <w:rFonts w:cstheme="minorHAnsi"/>
          <w:lang w:val="en-US"/>
        </w:rPr>
        <w:t xml:space="preserve"> flow is </w:t>
      </w:r>
      <w:r w:rsidRPr="0036192C">
        <w:rPr>
          <w:rFonts w:cstheme="minorHAnsi"/>
          <w:lang w:val="en-US"/>
        </w:rPr>
        <w:t>2.01</w:t>
      </w:r>
      <w:r w:rsidRPr="007D1F2C">
        <w:rPr>
          <w:rFonts w:cstheme="minorHAnsi"/>
          <w:lang w:val="en-US"/>
        </w:rPr>
        <w:t xml:space="preserve"> </w:t>
      </w:r>
      <w:proofErr w:type="spellStart"/>
      <w:r w:rsidRPr="007D1F2C">
        <w:rPr>
          <w:rFonts w:cstheme="minorHAnsi"/>
          <w:lang w:val="en-US"/>
        </w:rPr>
        <w:t>litres</w:t>
      </w:r>
      <w:proofErr w:type="spellEnd"/>
      <w:r w:rsidRPr="007D1F2C">
        <w:rPr>
          <w:rFonts w:cstheme="minorHAnsi"/>
          <w:lang w:val="en-US"/>
        </w:rPr>
        <w:t xml:space="preserve">/minute at 2.0 bar.  Convention / good practice would be to replace nozzles when flow is 10% higher than design specifications due to wear which affects the flow and pattern emitted.  </w:t>
      </w:r>
    </w:p>
    <w:p w14:paraId="5B1330F3" w14:textId="41CC6017" w:rsidR="005050CE" w:rsidRPr="006755B7" w:rsidRDefault="005050CE" w:rsidP="006755B7">
      <w:pPr>
        <w:spacing w:line="240" w:lineRule="auto"/>
        <w:jc w:val="both"/>
        <w:rPr>
          <w:rFonts w:cstheme="minorHAnsi"/>
          <w:lang w:val="en-US"/>
        </w:rPr>
      </w:pPr>
      <w:r w:rsidRPr="006755B7">
        <w:rPr>
          <w:rFonts w:cstheme="minorHAnsi"/>
          <w:lang w:val="en-US"/>
        </w:rPr>
        <w:t>Given that nutrient and standard nozzles are fitted at relatively close intervals, are precisely manufactured and meter product at a relatively close distance to the target, pattern testing or testing of individual nozzle flows is unlikely to add significant value to any testing aimed at certifying evenness of sprea</w:t>
      </w:r>
      <w:r w:rsidR="00AC3A45">
        <w:rPr>
          <w:rFonts w:cstheme="minorHAnsi"/>
          <w:lang w:val="en-US"/>
        </w:rPr>
        <w:t>d</w:t>
      </w:r>
      <w:r w:rsidR="00AC3A45">
        <w:rPr>
          <w:rStyle w:val="FootnoteReference"/>
          <w:rFonts w:cstheme="minorHAnsi"/>
          <w:lang w:val="en-US"/>
        </w:rPr>
        <w:footnoteReference w:id="2"/>
      </w:r>
      <w:r w:rsidRPr="006755B7">
        <w:rPr>
          <w:rFonts w:cstheme="minorHAnsi"/>
          <w:lang w:val="en-US"/>
        </w:rPr>
        <w:t>.   Certification testing should focus on boom section pressures and comparison of test flow with expected performance.</w:t>
      </w:r>
    </w:p>
    <w:p w14:paraId="1BB3E0E4" w14:textId="3EF1C3B0" w:rsidR="005050CE" w:rsidRPr="00DF4189" w:rsidRDefault="005050CE" w:rsidP="00DF4189">
      <w:pPr>
        <w:spacing w:line="240" w:lineRule="auto"/>
        <w:jc w:val="both"/>
        <w:rPr>
          <w:rFonts w:cstheme="minorHAnsi"/>
          <w:lang w:val="en-US"/>
        </w:rPr>
      </w:pPr>
      <w:r w:rsidRPr="006755B7">
        <w:rPr>
          <w:rFonts w:cstheme="minorHAnsi"/>
          <w:lang w:val="en-US"/>
        </w:rPr>
        <w:t>Note that longitudinal distribution will be determined by the consistency of the liquid nutrient used and homogeneity of mixing processe</w:t>
      </w:r>
      <w:r w:rsidR="00991A28">
        <w:rPr>
          <w:rFonts w:cstheme="minorHAnsi"/>
          <w:lang w:val="en-US"/>
        </w:rPr>
        <w:t>s</w:t>
      </w:r>
      <w:r w:rsidR="00991A28">
        <w:rPr>
          <w:rStyle w:val="FootnoteReference"/>
          <w:rFonts w:cstheme="minorHAnsi"/>
          <w:lang w:val="en-US"/>
        </w:rPr>
        <w:footnoteReference w:id="3"/>
      </w:r>
      <w:r w:rsidRPr="006755B7">
        <w:rPr>
          <w:rFonts w:cstheme="minorHAnsi"/>
          <w:lang w:val="en-US"/>
        </w:rPr>
        <w:t>.</w:t>
      </w:r>
      <w:r w:rsidR="006F4EDE">
        <w:rPr>
          <w:rFonts w:cstheme="minorHAnsi"/>
          <w:lang w:val="en-US"/>
        </w:rPr>
        <w:t xml:space="preserve"> </w:t>
      </w:r>
      <w:r w:rsidR="006F4EDE" w:rsidRPr="006755B7">
        <w:rPr>
          <w:rFonts w:cstheme="minorHAnsi"/>
          <w:lang w:val="en-US"/>
        </w:rPr>
        <w:t xml:space="preserve">Measurement conditions are defined below.  </w:t>
      </w:r>
    </w:p>
    <w:p w14:paraId="6536BCA6" w14:textId="77777777" w:rsidR="005050CE" w:rsidRPr="006755B7" w:rsidRDefault="005050CE" w:rsidP="006755B7">
      <w:pPr>
        <w:spacing w:line="240" w:lineRule="auto"/>
        <w:jc w:val="both"/>
        <w:rPr>
          <w:rFonts w:cstheme="minorHAnsi"/>
          <w:b/>
          <w:bCs/>
          <w:lang w:val="en-US"/>
        </w:rPr>
      </w:pPr>
      <w:r w:rsidRPr="006755B7">
        <w:rPr>
          <w:rFonts w:cstheme="minorHAnsi"/>
          <w:b/>
          <w:bCs/>
          <w:lang w:val="en-US"/>
        </w:rPr>
        <w:t>2.Facilities</w:t>
      </w:r>
    </w:p>
    <w:p w14:paraId="7FF00D42" w14:textId="20F29742" w:rsidR="005050CE" w:rsidRPr="006755B7" w:rsidRDefault="001F0FD6" w:rsidP="006755B7">
      <w:pPr>
        <w:spacing w:line="240" w:lineRule="auto"/>
        <w:jc w:val="both"/>
        <w:rPr>
          <w:rFonts w:cstheme="minorHAnsi"/>
        </w:rPr>
      </w:pPr>
      <w:r>
        <w:rPr>
          <w:rFonts w:cstheme="minorHAnsi"/>
        </w:rPr>
        <w:t>For groundspread, c</w:t>
      </w:r>
      <w:r w:rsidR="005050CE" w:rsidRPr="006755B7">
        <w:rPr>
          <w:rFonts w:cstheme="minorHAnsi"/>
        </w:rPr>
        <w:t>ertification tests may be conducted either indoors or outdoors providing all the following specifications are met: </w:t>
      </w:r>
    </w:p>
    <w:tbl>
      <w:tblPr>
        <w:tblW w:w="0" w:type="auto"/>
        <w:tblCellMar>
          <w:top w:w="15" w:type="dxa"/>
          <w:left w:w="15" w:type="dxa"/>
          <w:bottom w:w="15" w:type="dxa"/>
          <w:right w:w="15" w:type="dxa"/>
        </w:tblCellMar>
        <w:tblLook w:val="04A0" w:firstRow="1" w:lastRow="0" w:firstColumn="1" w:lastColumn="0" w:noHBand="0" w:noVBand="1"/>
      </w:tblPr>
      <w:tblGrid>
        <w:gridCol w:w="1316"/>
        <w:gridCol w:w="3813"/>
        <w:gridCol w:w="3887"/>
      </w:tblGrid>
      <w:tr w:rsidR="005050CE" w:rsidRPr="006755B7" w14:paraId="58D88BD9"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37399ED4" w14:textId="77777777" w:rsidR="005050CE" w:rsidRPr="006755B7" w:rsidRDefault="005050CE" w:rsidP="006755B7">
            <w:pPr>
              <w:spacing w:line="240" w:lineRule="auto"/>
              <w:jc w:val="both"/>
              <w:rPr>
                <w:rFonts w:cstheme="minorHAnsi"/>
              </w:rPr>
            </w:pPr>
          </w:p>
        </w:t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388EFC9D" w14:textId="77777777" w:rsidR="005050CE" w:rsidRPr="006755B7" w:rsidRDefault="005050CE" w:rsidP="006755B7">
            <w:pPr>
              <w:spacing w:line="240" w:lineRule="auto"/>
              <w:jc w:val="both"/>
              <w:rPr>
                <w:rFonts w:cstheme="minorHAnsi"/>
              </w:rPr>
            </w:pPr>
            <w:r w:rsidRPr="006755B7">
              <w:rPr>
                <w:rFonts w:cstheme="minorHAnsi"/>
                <w:b/>
                <w:bCs/>
              </w:rPr>
              <w:t>INDOOR</w:t>
            </w:r>
          </w:p>
        </w:t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607DE574" w14:textId="77777777" w:rsidR="005050CE" w:rsidRPr="006755B7" w:rsidRDefault="005050CE" w:rsidP="006755B7">
            <w:pPr>
              <w:spacing w:line="240" w:lineRule="auto"/>
              <w:jc w:val="both"/>
              <w:rPr>
                <w:rFonts w:cstheme="minorHAnsi"/>
              </w:rPr>
            </w:pPr>
            <w:r w:rsidRPr="006755B7">
              <w:rPr>
                <w:rFonts w:cstheme="minorHAnsi"/>
                <w:b/>
                <w:bCs/>
              </w:rPr>
              <w:t>OUTDOOR</w:t>
            </w:r>
          </w:p>
        </w:tc>
      </w:tr>
      <w:tr w:rsidR="005050CE" w:rsidRPr="006755B7" w14:paraId="0C98E0A5"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0679F594" w14:textId="77777777" w:rsidR="005050CE" w:rsidRPr="006755B7" w:rsidRDefault="005050CE" w:rsidP="006755B7">
            <w:pPr>
              <w:spacing w:line="240" w:lineRule="auto"/>
              <w:jc w:val="both"/>
              <w:rPr>
                <w:rFonts w:cstheme="minorHAnsi"/>
              </w:rPr>
            </w:pPr>
            <w:r w:rsidRPr="006755B7">
              <w:rPr>
                <w:rFonts w:cstheme="minorHAnsi"/>
              </w:rPr>
              <w:t>Size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0FCED7E8" w14:textId="77777777" w:rsidR="005050CE" w:rsidRPr="006755B7" w:rsidRDefault="005050CE" w:rsidP="006755B7">
            <w:pPr>
              <w:spacing w:line="240" w:lineRule="auto"/>
              <w:jc w:val="both"/>
              <w:rPr>
                <w:rFonts w:cstheme="minorHAnsi"/>
              </w:rPr>
            </w:pPr>
            <w:r w:rsidRPr="006755B7">
              <w:rPr>
                <w:rFonts w:cstheme="minorHAnsi"/>
              </w:rPr>
              <w:t>Width sufficient to unfold the spray boom </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0D3D880C" w14:textId="77777777" w:rsidR="005050CE" w:rsidRPr="006755B7" w:rsidRDefault="005050CE" w:rsidP="006755B7">
            <w:pPr>
              <w:spacing w:line="240" w:lineRule="auto"/>
              <w:jc w:val="both"/>
              <w:rPr>
                <w:rFonts w:cstheme="minorHAnsi"/>
              </w:rPr>
            </w:pPr>
            <w:r w:rsidRPr="006755B7">
              <w:rPr>
                <w:rFonts w:cstheme="minorHAnsi"/>
              </w:rPr>
              <w:t>Width sufficient to unfold the spray boom</w:t>
            </w:r>
          </w:p>
        </w:tc>
      </w:tr>
      <w:tr w:rsidR="005050CE" w:rsidRPr="006755B7" w14:paraId="67DFEAFC"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5FEEDAD4" w14:textId="77777777" w:rsidR="005050CE" w:rsidRPr="006755B7" w:rsidRDefault="005050CE" w:rsidP="006755B7">
            <w:pPr>
              <w:spacing w:line="240" w:lineRule="auto"/>
              <w:jc w:val="both"/>
              <w:rPr>
                <w:rFonts w:cstheme="minorHAnsi"/>
              </w:rPr>
            </w:pPr>
            <w:r w:rsidRPr="006755B7">
              <w:rPr>
                <w:rFonts w:cstheme="minorHAnsi"/>
              </w:rPr>
              <w:t>Wind</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694DDC64" w14:textId="77777777" w:rsidR="005050CE" w:rsidRPr="006755B7" w:rsidRDefault="005050CE" w:rsidP="006755B7">
            <w:pPr>
              <w:spacing w:line="240" w:lineRule="auto"/>
              <w:jc w:val="both"/>
              <w:rPr>
                <w:rFonts w:cstheme="minorHAnsi"/>
              </w:rPr>
            </w:pPr>
            <w:r w:rsidRPr="006755B7">
              <w:rPr>
                <w:rFonts w:cstheme="minorHAnsi"/>
              </w:rPr>
              <w:t>Nil</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6B0CDF50" w14:textId="77777777" w:rsidR="005050CE" w:rsidRPr="006755B7" w:rsidRDefault="005050CE" w:rsidP="006755B7">
            <w:pPr>
              <w:spacing w:line="240" w:lineRule="auto"/>
              <w:jc w:val="both"/>
              <w:rPr>
                <w:rFonts w:cstheme="minorHAnsi"/>
              </w:rPr>
            </w:pPr>
            <w:r w:rsidRPr="006755B7">
              <w:rPr>
                <w:rFonts w:cstheme="minorHAnsi"/>
              </w:rPr>
              <w:t>&lt; about 15 km/hr </w:t>
            </w:r>
          </w:p>
        </w:tc>
      </w:tr>
      <w:tr w:rsidR="005050CE" w:rsidRPr="006755B7" w14:paraId="41AD45B2"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1446A72E" w14:textId="77777777" w:rsidR="005050CE" w:rsidRPr="006755B7" w:rsidRDefault="005050CE" w:rsidP="006755B7">
            <w:pPr>
              <w:spacing w:line="240" w:lineRule="auto"/>
              <w:jc w:val="both"/>
              <w:rPr>
                <w:rFonts w:cstheme="minorHAnsi"/>
              </w:rPr>
            </w:pPr>
            <w:r w:rsidRPr="006755B7">
              <w:rPr>
                <w:rFonts w:cstheme="minorHAnsi"/>
              </w:rPr>
              <w:t>Surface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75885D2F" w14:textId="77777777" w:rsidR="005050CE" w:rsidRPr="006755B7" w:rsidRDefault="005050CE" w:rsidP="006755B7">
            <w:pPr>
              <w:spacing w:line="240" w:lineRule="auto"/>
              <w:jc w:val="both"/>
              <w:rPr>
                <w:rFonts w:cstheme="minorHAnsi"/>
              </w:rPr>
            </w:pPr>
            <w:r w:rsidRPr="006755B7">
              <w:rPr>
                <w:rFonts w:cstheme="minorHAnsi"/>
              </w:rPr>
              <w:t>Flat and hard</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0B6BCD3D" w14:textId="77777777" w:rsidR="005050CE" w:rsidRPr="006755B7" w:rsidRDefault="005050CE" w:rsidP="006755B7">
            <w:pPr>
              <w:spacing w:line="240" w:lineRule="auto"/>
              <w:jc w:val="both"/>
              <w:rPr>
                <w:rFonts w:cstheme="minorHAnsi"/>
              </w:rPr>
            </w:pPr>
            <w:r w:rsidRPr="006755B7">
              <w:rPr>
                <w:rFonts w:cstheme="minorHAnsi"/>
              </w:rPr>
              <w:t>Firm and smooth</w:t>
            </w:r>
          </w:p>
        </w:tc>
      </w:tr>
      <w:tr w:rsidR="005050CE" w:rsidRPr="006755B7" w14:paraId="6069E4E6"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2F57A1C5" w14:textId="77777777" w:rsidR="005050CE" w:rsidRPr="006755B7" w:rsidRDefault="005050CE" w:rsidP="006755B7">
            <w:pPr>
              <w:spacing w:line="240" w:lineRule="auto"/>
              <w:jc w:val="both"/>
              <w:rPr>
                <w:rFonts w:cstheme="minorHAnsi"/>
              </w:rPr>
            </w:pPr>
            <w:r w:rsidRPr="006755B7">
              <w:rPr>
                <w:rFonts w:cstheme="minorHAnsi"/>
              </w:rPr>
              <w:t>Test Material</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4FE5CFD1" w14:textId="77777777" w:rsidR="005050CE" w:rsidRPr="006755B7" w:rsidRDefault="005050CE" w:rsidP="006755B7">
            <w:pPr>
              <w:spacing w:line="240" w:lineRule="auto"/>
              <w:jc w:val="both"/>
              <w:rPr>
                <w:rFonts w:cstheme="minorHAnsi"/>
              </w:rPr>
            </w:pPr>
            <w:r w:rsidRPr="006755B7">
              <w:rPr>
                <w:rFonts w:cstheme="minorHAnsi"/>
              </w:rPr>
              <w:t>Water for boom section and nozzle flow tests </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3E62692E" w14:textId="77777777" w:rsidR="005050CE" w:rsidRPr="006755B7" w:rsidRDefault="005050CE" w:rsidP="006755B7">
            <w:pPr>
              <w:spacing w:line="240" w:lineRule="auto"/>
              <w:jc w:val="both"/>
              <w:rPr>
                <w:rFonts w:cstheme="minorHAnsi"/>
              </w:rPr>
            </w:pPr>
            <w:r w:rsidRPr="006755B7">
              <w:rPr>
                <w:rFonts w:cstheme="minorHAnsi"/>
              </w:rPr>
              <w:t>Water for boom section and nozzle flow tests</w:t>
            </w:r>
          </w:p>
        </w:tc>
      </w:tr>
      <w:tr w:rsidR="005050CE" w:rsidRPr="006755B7" w14:paraId="58C3F49A"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597F2791" w14:textId="77777777" w:rsidR="005050CE" w:rsidRPr="006755B7" w:rsidRDefault="005050CE" w:rsidP="006755B7">
            <w:pPr>
              <w:spacing w:line="240" w:lineRule="auto"/>
              <w:jc w:val="both"/>
              <w:rPr>
                <w:rFonts w:cstheme="minorHAnsi"/>
              </w:rPr>
            </w:pPr>
            <w:r w:rsidRPr="006755B7">
              <w:rPr>
                <w:rFonts w:cstheme="minorHAnsi"/>
              </w:rPr>
              <w:t>Site usage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7E1DC19C" w14:textId="77777777" w:rsidR="005050CE" w:rsidRPr="006755B7" w:rsidRDefault="005050CE" w:rsidP="006755B7">
            <w:pPr>
              <w:spacing w:line="240" w:lineRule="auto"/>
              <w:jc w:val="both"/>
              <w:rPr>
                <w:rFonts w:cstheme="minorHAnsi"/>
              </w:rPr>
            </w:pPr>
            <w:r w:rsidRPr="006755B7">
              <w:rPr>
                <w:rFonts w:cstheme="minorHAnsi"/>
              </w:rPr>
              <w:t>Not to exceed local drainage capacity</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56997901" w14:textId="21A0FCCF" w:rsidR="005050CE" w:rsidRPr="006755B7" w:rsidRDefault="005050CE" w:rsidP="006755B7">
            <w:pPr>
              <w:spacing w:line="240" w:lineRule="auto"/>
              <w:jc w:val="both"/>
              <w:rPr>
                <w:rFonts w:cstheme="minorHAnsi"/>
              </w:rPr>
            </w:pPr>
            <w:r w:rsidRPr="006755B7">
              <w:rPr>
                <w:rFonts w:cstheme="minorHAnsi"/>
              </w:rPr>
              <w:t>Not to exceed local drainage capacity </w:t>
            </w:r>
          </w:p>
        </w:tc>
      </w:tr>
    </w:tbl>
    <w:p w14:paraId="708B9E98" w14:textId="77777777" w:rsidR="005050CE" w:rsidRPr="006755B7" w:rsidRDefault="005050CE" w:rsidP="006755B7">
      <w:pPr>
        <w:spacing w:line="240" w:lineRule="auto"/>
        <w:jc w:val="both"/>
        <w:rPr>
          <w:rFonts w:cstheme="minorHAnsi"/>
          <w:b/>
          <w:bCs/>
          <w:lang w:val="en-US"/>
        </w:rPr>
      </w:pPr>
    </w:p>
    <w:p w14:paraId="37502794" w14:textId="77777777" w:rsidR="005050CE" w:rsidRPr="006755B7" w:rsidRDefault="005050CE" w:rsidP="006755B7">
      <w:pPr>
        <w:spacing w:line="240" w:lineRule="auto"/>
        <w:jc w:val="both"/>
        <w:rPr>
          <w:rFonts w:cstheme="minorHAnsi"/>
          <w:b/>
          <w:bCs/>
          <w:lang w:val="en-US"/>
        </w:rPr>
      </w:pPr>
      <w:r w:rsidRPr="006755B7">
        <w:rPr>
          <w:rFonts w:cstheme="minorHAnsi"/>
          <w:b/>
          <w:bCs/>
          <w:lang w:val="en-US"/>
        </w:rPr>
        <w:t>3.Test Products</w:t>
      </w:r>
    </w:p>
    <w:p w14:paraId="190B2412" w14:textId="77777777" w:rsidR="005050CE" w:rsidRPr="006755B7" w:rsidRDefault="005050CE" w:rsidP="006755B7">
      <w:pPr>
        <w:spacing w:line="240" w:lineRule="auto"/>
        <w:jc w:val="both"/>
        <w:rPr>
          <w:rFonts w:cstheme="minorHAnsi"/>
          <w:lang w:val="en-US"/>
        </w:rPr>
      </w:pPr>
      <w:r w:rsidRPr="006755B7">
        <w:rPr>
          <w:rFonts w:cstheme="minorHAnsi"/>
          <w:lang w:val="en-US"/>
        </w:rPr>
        <w:t xml:space="preserve">It is proposed that water is used as the test product in lieu of </w:t>
      </w:r>
      <w:proofErr w:type="gramStart"/>
      <w:r w:rsidRPr="006755B7">
        <w:rPr>
          <w:rFonts w:cstheme="minorHAnsi"/>
          <w:lang w:val="en-US"/>
        </w:rPr>
        <w:t>actual</w:t>
      </w:r>
      <w:proofErr w:type="gramEnd"/>
      <w:r w:rsidRPr="006755B7">
        <w:rPr>
          <w:rFonts w:cstheme="minorHAnsi"/>
          <w:lang w:val="en-US"/>
        </w:rPr>
        <w:t xml:space="preserve"> product.  Suggested tests are for a stationary sprayer.  Safe disposal of liquid nutrients from a stationary sprayer could pose an environmental risk for stationary tests so water is preferred.  </w:t>
      </w:r>
    </w:p>
    <w:p w14:paraId="5B738F11" w14:textId="3875DC66" w:rsidR="005050CE" w:rsidRPr="006755B7" w:rsidRDefault="005050CE" w:rsidP="006755B7">
      <w:pPr>
        <w:spacing w:line="240" w:lineRule="auto"/>
        <w:jc w:val="both"/>
        <w:rPr>
          <w:rFonts w:cstheme="minorHAnsi"/>
          <w:lang w:val="en-US"/>
        </w:rPr>
      </w:pPr>
      <w:r w:rsidRPr="006755B7">
        <w:rPr>
          <w:rFonts w:cstheme="minorHAnsi"/>
          <w:lang w:val="en-US"/>
        </w:rPr>
        <w:t>Likely application products include nitrogen as the dominant nutrient subject to liquid nutrient application.  By default, any nutrients applied as a liquid are dissolve</w:t>
      </w:r>
      <w:r w:rsidR="00244277">
        <w:rPr>
          <w:rFonts w:cstheme="minorHAnsi"/>
          <w:lang w:val="en-US"/>
        </w:rPr>
        <w:t>d</w:t>
      </w:r>
      <w:r w:rsidR="00F3360F">
        <w:rPr>
          <w:rStyle w:val="FootnoteReference"/>
          <w:rFonts w:cstheme="minorHAnsi"/>
          <w:lang w:val="en-US"/>
        </w:rPr>
        <w:footnoteReference w:id="4"/>
      </w:r>
      <w:r w:rsidRPr="006755B7">
        <w:rPr>
          <w:rFonts w:cstheme="minorHAnsi"/>
          <w:lang w:val="en-US"/>
        </w:rPr>
        <w:t>, dissolved Ure</w:t>
      </w:r>
      <w:r w:rsidR="00F3360F">
        <w:rPr>
          <w:rFonts w:cstheme="minorHAnsi"/>
          <w:lang w:val="en-US"/>
        </w:rPr>
        <w:t>a</w:t>
      </w:r>
      <w:r w:rsidR="00F3360F">
        <w:rPr>
          <w:rStyle w:val="FootnoteReference"/>
          <w:rFonts w:cstheme="minorHAnsi"/>
          <w:lang w:val="en-US"/>
        </w:rPr>
        <w:footnoteReference w:id="5"/>
      </w:r>
      <w:r w:rsidRPr="006755B7">
        <w:rPr>
          <w:rFonts w:cstheme="minorHAnsi"/>
          <w:lang w:val="en-US"/>
        </w:rPr>
        <w:t xml:space="preserve"> being the most common.  </w:t>
      </w:r>
    </w:p>
    <w:tbl>
      <w:tblPr>
        <w:tblW w:w="8952" w:type="dxa"/>
        <w:tblCellMar>
          <w:top w:w="15" w:type="dxa"/>
          <w:left w:w="15" w:type="dxa"/>
          <w:bottom w:w="15" w:type="dxa"/>
          <w:right w:w="15" w:type="dxa"/>
        </w:tblCellMar>
        <w:tblLook w:val="04A0" w:firstRow="1" w:lastRow="0" w:firstColumn="1" w:lastColumn="0" w:noHBand="0" w:noVBand="1"/>
      </w:tblPr>
      <w:tblGrid>
        <w:gridCol w:w="840"/>
        <w:gridCol w:w="2091"/>
        <w:gridCol w:w="2057"/>
        <w:gridCol w:w="3964"/>
      </w:tblGrid>
      <w:tr w:rsidR="005050CE" w:rsidRPr="006755B7" w14:paraId="1C631F34" w14:textId="77777777" w:rsidTr="005668F9">
        <w:trPr>
          <w:trHeight w:val="420"/>
        </w:trPr>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7B4478C8" w14:textId="77777777" w:rsidR="005050CE" w:rsidRPr="006755B7" w:rsidRDefault="005050CE" w:rsidP="006755B7">
            <w:pPr>
              <w:spacing w:after="0" w:line="240" w:lineRule="auto"/>
              <w:jc w:val="both"/>
              <w:rPr>
                <w:rFonts w:eastAsia="Times New Roman" w:cstheme="minorHAnsi"/>
                <w:kern w:val="0"/>
                <w:lang w:eastAsia="en-NZ"/>
                <w14:ligatures w14:val="none"/>
              </w:rPr>
            </w:pPr>
          </w:p>
        </w:tc>
        <w:tc>
          <w:tcPr>
            <w:tcW w:w="2091" w:type="dxa"/>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0CDA894B" w14:textId="5CB72633" w:rsidR="005050CE" w:rsidRPr="006755B7" w:rsidRDefault="005050CE" w:rsidP="006755B7">
            <w:pPr>
              <w:spacing w:before="120" w:after="240" w:line="240" w:lineRule="auto"/>
              <w:jc w:val="both"/>
              <w:rPr>
                <w:rFonts w:eastAsia="Times New Roman" w:cstheme="minorHAnsi"/>
                <w:kern w:val="0"/>
                <w:lang w:eastAsia="en-NZ"/>
                <w14:ligatures w14:val="none"/>
              </w:rPr>
            </w:pPr>
            <w:r w:rsidRPr="006755B7">
              <w:rPr>
                <w:rFonts w:eastAsia="Times New Roman" w:cstheme="minorHAnsi"/>
                <w:b/>
                <w:bCs/>
                <w:color w:val="FFFFFF"/>
                <w:kern w:val="0"/>
                <w:lang w:eastAsia="en-NZ"/>
                <w14:ligatures w14:val="none"/>
              </w:rPr>
              <w:t>%</w:t>
            </w:r>
            <w:r w:rsidR="003C2AA6">
              <w:rPr>
                <w:rFonts w:eastAsia="Times New Roman" w:cstheme="minorHAnsi"/>
                <w:b/>
                <w:bCs/>
                <w:color w:val="FFFFFF"/>
                <w:kern w:val="0"/>
                <w:lang w:eastAsia="en-NZ"/>
                <w14:ligatures w14:val="none"/>
              </w:rPr>
              <w:t>N</w:t>
            </w:r>
            <w:r w:rsidR="003C2AA6">
              <w:rPr>
                <w:rStyle w:val="FootnoteReference"/>
                <w:rFonts w:eastAsia="Times New Roman" w:cstheme="minorHAnsi"/>
                <w:b/>
                <w:bCs/>
                <w:color w:val="FFFFFF"/>
                <w:kern w:val="0"/>
                <w:lang w:eastAsia="en-NZ"/>
                <w14:ligatures w14:val="none"/>
              </w:rPr>
              <w:footnoteReference w:id="6"/>
            </w:r>
          </w:p>
        </w:tc>
        <w:tc>
          <w:tcPr>
            <w:tcW w:w="2057" w:type="dxa"/>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36D1C6CE" w14:textId="77777777" w:rsidR="005050CE" w:rsidRPr="006755B7" w:rsidRDefault="005050CE" w:rsidP="006755B7">
            <w:pPr>
              <w:spacing w:after="0" w:line="240" w:lineRule="auto"/>
              <w:jc w:val="both"/>
              <w:rPr>
                <w:rFonts w:eastAsia="Times New Roman" w:cstheme="minorHAnsi"/>
                <w:kern w:val="0"/>
                <w:lang w:eastAsia="en-NZ"/>
                <w14:ligatures w14:val="none"/>
              </w:rPr>
            </w:pPr>
          </w:p>
        </w:tc>
        <w:tc>
          <w:tcPr>
            <w:tcW w:w="3964" w:type="dxa"/>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28C4AE65" w14:textId="77777777" w:rsidR="005050CE" w:rsidRPr="006755B7" w:rsidRDefault="005050CE" w:rsidP="006755B7">
            <w:pPr>
              <w:spacing w:before="120" w:after="240" w:line="240" w:lineRule="auto"/>
              <w:jc w:val="both"/>
              <w:rPr>
                <w:rFonts w:eastAsia="Times New Roman" w:cstheme="minorHAnsi"/>
                <w:kern w:val="0"/>
                <w:lang w:eastAsia="en-NZ"/>
                <w14:ligatures w14:val="none"/>
              </w:rPr>
            </w:pPr>
            <w:r w:rsidRPr="006755B7">
              <w:rPr>
                <w:rFonts w:eastAsia="Times New Roman" w:cstheme="minorHAnsi"/>
                <w:b/>
                <w:bCs/>
                <w:color w:val="FFFFFF"/>
                <w:kern w:val="0"/>
                <w:lang w:eastAsia="en-NZ"/>
                <w14:ligatures w14:val="none"/>
              </w:rPr>
              <w:t>PRODUCT EXAMPLE</w:t>
            </w:r>
          </w:p>
        </w:tc>
      </w:tr>
      <w:tr w:rsidR="005050CE" w:rsidRPr="006755B7" w14:paraId="67AE2F0C" w14:textId="77777777" w:rsidTr="005668F9">
        <w:trPr>
          <w:trHeight w:val="427"/>
        </w:trPr>
        <w:tc>
          <w:tcPr>
            <w:tcW w:w="0" w:type="auto"/>
            <w:tcBorders>
              <w:top w:val="single" w:sz="4" w:space="0" w:color="4F6228"/>
              <w:left w:val="single" w:sz="4" w:space="0" w:color="4F6228"/>
              <w:right w:val="single" w:sz="4" w:space="0" w:color="4F6228"/>
            </w:tcBorders>
            <w:shd w:val="clear" w:color="auto" w:fill="C2D69B"/>
            <w:tcMar>
              <w:top w:w="0" w:type="dxa"/>
              <w:left w:w="108" w:type="dxa"/>
              <w:bottom w:w="0" w:type="dxa"/>
              <w:right w:w="108" w:type="dxa"/>
            </w:tcMar>
            <w:vAlign w:val="center"/>
            <w:hideMark/>
          </w:tcPr>
          <w:p w14:paraId="21B0BE72" w14:textId="77777777" w:rsidR="005050CE" w:rsidRPr="006755B7" w:rsidRDefault="005050CE" w:rsidP="006755B7">
            <w:pPr>
              <w:spacing w:before="120" w:after="240" w:line="240" w:lineRule="auto"/>
              <w:jc w:val="both"/>
              <w:rPr>
                <w:rFonts w:eastAsia="Times New Roman" w:cstheme="minorHAnsi"/>
                <w:kern w:val="0"/>
                <w:lang w:eastAsia="en-NZ"/>
                <w14:ligatures w14:val="none"/>
              </w:rPr>
            </w:pPr>
            <w:r w:rsidRPr="006755B7">
              <w:rPr>
                <w:rFonts w:eastAsia="Times New Roman" w:cstheme="minorHAnsi"/>
                <w:color w:val="000000"/>
                <w:kern w:val="0"/>
                <w:lang w:eastAsia="en-NZ"/>
                <w14:ligatures w14:val="none"/>
              </w:rPr>
              <w:t>1</w:t>
            </w:r>
          </w:p>
        </w:tc>
        <w:tc>
          <w:tcPr>
            <w:tcW w:w="2091" w:type="dxa"/>
            <w:tcBorders>
              <w:top w:val="single" w:sz="4" w:space="0" w:color="4F6228"/>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1486E9DE" w14:textId="77777777" w:rsidR="005050CE" w:rsidRPr="006755B7" w:rsidRDefault="005050CE" w:rsidP="006755B7">
            <w:pPr>
              <w:spacing w:before="120" w:after="240" w:line="240" w:lineRule="auto"/>
              <w:jc w:val="both"/>
              <w:rPr>
                <w:rFonts w:eastAsia="Times New Roman" w:cstheme="minorHAnsi"/>
                <w:kern w:val="0"/>
                <w:lang w:eastAsia="en-NZ"/>
                <w14:ligatures w14:val="none"/>
              </w:rPr>
            </w:pPr>
            <w:r w:rsidRPr="006755B7">
              <w:rPr>
                <w:rFonts w:eastAsia="Times New Roman" w:cstheme="minorHAnsi"/>
                <w:color w:val="000000"/>
                <w:kern w:val="0"/>
                <w:lang w:eastAsia="en-NZ"/>
                <w14:ligatures w14:val="none"/>
              </w:rPr>
              <w:t>18</w:t>
            </w:r>
          </w:p>
        </w:tc>
        <w:tc>
          <w:tcPr>
            <w:tcW w:w="2057" w:type="dxa"/>
            <w:tcBorders>
              <w:top w:val="single" w:sz="4" w:space="0" w:color="4F6228"/>
              <w:left w:val="single" w:sz="4" w:space="0" w:color="4F6228"/>
              <w:right w:val="single" w:sz="4" w:space="0" w:color="4F6228"/>
            </w:tcBorders>
            <w:shd w:val="clear" w:color="auto" w:fill="EBF1DD"/>
            <w:tcMar>
              <w:top w:w="0" w:type="dxa"/>
              <w:left w:w="108" w:type="dxa"/>
              <w:bottom w:w="0" w:type="dxa"/>
              <w:right w:w="108" w:type="dxa"/>
            </w:tcMar>
            <w:vAlign w:val="center"/>
            <w:hideMark/>
          </w:tcPr>
          <w:p w14:paraId="16C6A3F2" w14:textId="77777777" w:rsidR="005050CE" w:rsidRPr="006755B7" w:rsidRDefault="005050CE" w:rsidP="006755B7">
            <w:pPr>
              <w:spacing w:after="0" w:line="240" w:lineRule="auto"/>
              <w:jc w:val="both"/>
              <w:rPr>
                <w:rFonts w:eastAsia="Times New Roman" w:cstheme="minorHAnsi"/>
                <w:kern w:val="0"/>
                <w:lang w:eastAsia="en-NZ"/>
                <w14:ligatures w14:val="none"/>
              </w:rPr>
            </w:pPr>
          </w:p>
        </w:tc>
        <w:tc>
          <w:tcPr>
            <w:tcW w:w="3964" w:type="dxa"/>
            <w:tcBorders>
              <w:top w:val="single" w:sz="4" w:space="0" w:color="4F6228"/>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5D8C3A87" w14:textId="77777777" w:rsidR="005050CE" w:rsidRPr="006755B7" w:rsidRDefault="005050CE" w:rsidP="006755B7">
            <w:pPr>
              <w:spacing w:before="120" w:after="240" w:line="240" w:lineRule="auto"/>
              <w:jc w:val="both"/>
              <w:rPr>
                <w:rFonts w:eastAsia="Times New Roman" w:cstheme="minorHAnsi"/>
                <w:kern w:val="0"/>
                <w:lang w:eastAsia="en-NZ"/>
                <w14:ligatures w14:val="none"/>
              </w:rPr>
            </w:pPr>
            <w:r w:rsidRPr="006755B7">
              <w:rPr>
                <w:rFonts w:eastAsia="Times New Roman" w:cstheme="minorHAnsi"/>
                <w:color w:val="000000"/>
                <w:kern w:val="0"/>
                <w:lang w:eastAsia="en-NZ"/>
                <w14:ligatures w14:val="none"/>
              </w:rPr>
              <w:t>Flow Fert N (18% N)</w:t>
            </w:r>
          </w:p>
        </w:tc>
      </w:tr>
      <w:tr w:rsidR="005050CE" w:rsidRPr="006755B7" w14:paraId="614A6908" w14:textId="77777777" w:rsidTr="005668F9">
        <w:trPr>
          <w:trHeight w:val="420"/>
        </w:trPr>
        <w:tc>
          <w:tcPr>
            <w:tcW w:w="0" w:type="auto"/>
            <w:tcBorders>
              <w:left w:val="single" w:sz="4" w:space="0" w:color="4F6228"/>
              <w:right w:val="single" w:sz="4" w:space="0" w:color="4F6228"/>
            </w:tcBorders>
            <w:shd w:val="clear" w:color="auto" w:fill="C2D69B"/>
            <w:tcMar>
              <w:top w:w="0" w:type="dxa"/>
              <w:left w:w="108" w:type="dxa"/>
              <w:bottom w:w="0" w:type="dxa"/>
              <w:right w:w="108" w:type="dxa"/>
            </w:tcMar>
            <w:vAlign w:val="center"/>
            <w:hideMark/>
          </w:tcPr>
          <w:p w14:paraId="204FCFAE" w14:textId="77777777" w:rsidR="005050CE" w:rsidRPr="006755B7" w:rsidRDefault="005050CE" w:rsidP="006755B7">
            <w:pPr>
              <w:spacing w:before="120" w:after="240" w:line="240" w:lineRule="auto"/>
              <w:jc w:val="both"/>
              <w:rPr>
                <w:rFonts w:eastAsia="Times New Roman" w:cstheme="minorHAnsi"/>
                <w:kern w:val="0"/>
                <w:lang w:eastAsia="en-NZ"/>
                <w14:ligatures w14:val="none"/>
              </w:rPr>
            </w:pPr>
            <w:r w:rsidRPr="006755B7">
              <w:rPr>
                <w:rFonts w:eastAsia="Times New Roman" w:cstheme="minorHAnsi"/>
                <w:color w:val="000000"/>
                <w:kern w:val="0"/>
                <w:lang w:eastAsia="en-NZ"/>
                <w14:ligatures w14:val="none"/>
              </w:rPr>
              <w:t>2</w:t>
            </w:r>
          </w:p>
        </w:tc>
        <w:tc>
          <w:tcPr>
            <w:tcW w:w="2091" w:type="dxa"/>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30DF0467" w14:textId="77777777" w:rsidR="005050CE" w:rsidRPr="006755B7" w:rsidRDefault="005050CE" w:rsidP="006755B7">
            <w:pPr>
              <w:spacing w:before="120" w:after="240" w:line="240" w:lineRule="auto"/>
              <w:jc w:val="both"/>
              <w:rPr>
                <w:rFonts w:eastAsia="Times New Roman" w:cstheme="minorHAnsi"/>
                <w:kern w:val="0"/>
                <w:lang w:eastAsia="en-NZ"/>
                <w14:ligatures w14:val="none"/>
              </w:rPr>
            </w:pPr>
            <w:r w:rsidRPr="006755B7">
              <w:rPr>
                <w:rFonts w:eastAsia="Times New Roman" w:cstheme="minorHAnsi"/>
                <w:color w:val="000000"/>
                <w:kern w:val="0"/>
                <w:lang w:eastAsia="en-NZ"/>
                <w14:ligatures w14:val="none"/>
              </w:rPr>
              <w:t>19</w:t>
            </w:r>
          </w:p>
        </w:tc>
        <w:tc>
          <w:tcPr>
            <w:tcW w:w="2057" w:type="dxa"/>
            <w:tcBorders>
              <w:left w:val="single" w:sz="4" w:space="0" w:color="4F6228"/>
              <w:right w:val="single" w:sz="4" w:space="0" w:color="4F6228"/>
            </w:tcBorders>
            <w:shd w:val="clear" w:color="auto" w:fill="EBF1DD"/>
            <w:tcMar>
              <w:top w:w="0" w:type="dxa"/>
              <w:left w:w="108" w:type="dxa"/>
              <w:bottom w:w="0" w:type="dxa"/>
              <w:right w:w="108" w:type="dxa"/>
            </w:tcMar>
            <w:vAlign w:val="center"/>
            <w:hideMark/>
          </w:tcPr>
          <w:p w14:paraId="76B8B41D" w14:textId="77777777" w:rsidR="005050CE" w:rsidRPr="006755B7" w:rsidRDefault="005050CE" w:rsidP="006755B7">
            <w:pPr>
              <w:spacing w:after="0" w:line="240" w:lineRule="auto"/>
              <w:jc w:val="both"/>
              <w:rPr>
                <w:rFonts w:eastAsia="Times New Roman" w:cstheme="minorHAnsi"/>
                <w:kern w:val="0"/>
                <w:lang w:eastAsia="en-NZ"/>
                <w14:ligatures w14:val="none"/>
              </w:rPr>
            </w:pPr>
          </w:p>
        </w:tc>
        <w:tc>
          <w:tcPr>
            <w:tcW w:w="3964" w:type="dxa"/>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26E2AE6E" w14:textId="77777777" w:rsidR="005050CE" w:rsidRPr="006755B7" w:rsidRDefault="005050CE" w:rsidP="006755B7">
            <w:pPr>
              <w:spacing w:before="120" w:after="240" w:line="240" w:lineRule="auto"/>
              <w:jc w:val="both"/>
              <w:rPr>
                <w:rFonts w:eastAsia="Times New Roman" w:cstheme="minorHAnsi"/>
                <w:kern w:val="0"/>
                <w:lang w:eastAsia="en-NZ"/>
                <w14:ligatures w14:val="none"/>
              </w:rPr>
            </w:pPr>
            <w:proofErr w:type="spellStart"/>
            <w:r w:rsidRPr="006755B7">
              <w:rPr>
                <w:rFonts w:eastAsia="Times New Roman" w:cstheme="minorHAnsi"/>
                <w:color w:val="000000"/>
                <w:kern w:val="0"/>
                <w:lang w:eastAsia="en-NZ"/>
                <w14:ligatures w14:val="none"/>
              </w:rPr>
              <w:t>Nrich</w:t>
            </w:r>
            <w:proofErr w:type="spellEnd"/>
            <w:r w:rsidRPr="006755B7">
              <w:rPr>
                <w:rFonts w:eastAsia="Times New Roman" w:cstheme="minorHAnsi"/>
                <w:color w:val="000000"/>
                <w:kern w:val="0"/>
                <w:lang w:eastAsia="en-NZ"/>
                <w14:ligatures w14:val="none"/>
              </w:rPr>
              <w:t xml:space="preserve"> Liquid Urea 19N</w:t>
            </w:r>
          </w:p>
        </w:tc>
      </w:tr>
      <w:tr w:rsidR="005050CE" w:rsidRPr="006755B7" w14:paraId="754D1317" w14:textId="77777777" w:rsidTr="005668F9">
        <w:trPr>
          <w:trHeight w:val="420"/>
        </w:trPr>
        <w:tc>
          <w:tcPr>
            <w:tcW w:w="0" w:type="auto"/>
            <w:tcBorders>
              <w:left w:val="single" w:sz="4" w:space="0" w:color="4F6228"/>
              <w:right w:val="single" w:sz="4" w:space="0" w:color="4F6228"/>
            </w:tcBorders>
            <w:shd w:val="clear" w:color="auto" w:fill="C2D69B"/>
            <w:tcMar>
              <w:top w:w="0" w:type="dxa"/>
              <w:left w:w="108" w:type="dxa"/>
              <w:bottom w:w="0" w:type="dxa"/>
              <w:right w:w="108" w:type="dxa"/>
            </w:tcMar>
            <w:vAlign w:val="center"/>
            <w:hideMark/>
          </w:tcPr>
          <w:p w14:paraId="7EAC4526" w14:textId="77777777" w:rsidR="005050CE" w:rsidRPr="006755B7" w:rsidRDefault="005050CE" w:rsidP="006755B7">
            <w:pPr>
              <w:spacing w:before="120" w:after="240" w:line="240" w:lineRule="auto"/>
              <w:jc w:val="both"/>
              <w:rPr>
                <w:rFonts w:eastAsia="Times New Roman" w:cstheme="minorHAnsi"/>
                <w:kern w:val="0"/>
                <w:lang w:eastAsia="en-NZ"/>
                <w14:ligatures w14:val="none"/>
              </w:rPr>
            </w:pPr>
            <w:r w:rsidRPr="006755B7">
              <w:rPr>
                <w:rFonts w:eastAsia="Times New Roman" w:cstheme="minorHAnsi"/>
                <w:color w:val="000000"/>
                <w:kern w:val="0"/>
                <w:lang w:eastAsia="en-NZ"/>
                <w14:ligatures w14:val="none"/>
              </w:rPr>
              <w:t>3</w:t>
            </w:r>
          </w:p>
        </w:tc>
        <w:tc>
          <w:tcPr>
            <w:tcW w:w="2091" w:type="dxa"/>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31E5BC90" w14:textId="77777777" w:rsidR="005050CE" w:rsidRPr="006755B7" w:rsidRDefault="005050CE" w:rsidP="006755B7">
            <w:pPr>
              <w:spacing w:before="120" w:after="240" w:line="240" w:lineRule="auto"/>
              <w:jc w:val="both"/>
              <w:rPr>
                <w:rFonts w:eastAsia="Times New Roman" w:cstheme="minorHAnsi"/>
                <w:kern w:val="0"/>
                <w:lang w:eastAsia="en-NZ"/>
                <w14:ligatures w14:val="none"/>
              </w:rPr>
            </w:pPr>
            <w:r w:rsidRPr="006755B7">
              <w:rPr>
                <w:rFonts w:eastAsia="Times New Roman" w:cstheme="minorHAnsi"/>
                <w:color w:val="000000"/>
                <w:kern w:val="0"/>
                <w:lang w:eastAsia="en-NZ"/>
                <w14:ligatures w14:val="none"/>
              </w:rPr>
              <w:t>?</w:t>
            </w:r>
          </w:p>
        </w:tc>
        <w:tc>
          <w:tcPr>
            <w:tcW w:w="2057" w:type="dxa"/>
            <w:tcBorders>
              <w:left w:val="single" w:sz="4" w:space="0" w:color="4F6228"/>
              <w:right w:val="single" w:sz="4" w:space="0" w:color="4F6228"/>
            </w:tcBorders>
            <w:shd w:val="clear" w:color="auto" w:fill="EBF1DD"/>
            <w:tcMar>
              <w:top w:w="0" w:type="dxa"/>
              <w:left w:w="108" w:type="dxa"/>
              <w:bottom w:w="0" w:type="dxa"/>
              <w:right w:w="108" w:type="dxa"/>
            </w:tcMar>
            <w:vAlign w:val="center"/>
            <w:hideMark/>
          </w:tcPr>
          <w:p w14:paraId="557FC098" w14:textId="77777777" w:rsidR="005050CE" w:rsidRPr="006755B7" w:rsidRDefault="005050CE" w:rsidP="006755B7">
            <w:pPr>
              <w:spacing w:after="0" w:line="240" w:lineRule="auto"/>
              <w:jc w:val="both"/>
              <w:rPr>
                <w:rFonts w:eastAsia="Times New Roman" w:cstheme="minorHAnsi"/>
                <w:kern w:val="0"/>
                <w:lang w:eastAsia="en-NZ"/>
                <w14:ligatures w14:val="none"/>
              </w:rPr>
            </w:pPr>
          </w:p>
        </w:tc>
        <w:tc>
          <w:tcPr>
            <w:tcW w:w="3964" w:type="dxa"/>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210C70B8" w14:textId="77777777" w:rsidR="005050CE" w:rsidRPr="006755B7" w:rsidRDefault="005050CE" w:rsidP="006755B7">
            <w:pPr>
              <w:spacing w:before="120" w:after="240" w:line="240" w:lineRule="auto"/>
              <w:jc w:val="both"/>
              <w:rPr>
                <w:rFonts w:eastAsia="Times New Roman" w:cstheme="minorHAnsi"/>
                <w:kern w:val="0"/>
                <w:lang w:eastAsia="en-NZ"/>
                <w14:ligatures w14:val="none"/>
              </w:rPr>
            </w:pPr>
            <w:r w:rsidRPr="006755B7">
              <w:rPr>
                <w:rFonts w:eastAsia="Times New Roman" w:cstheme="minorHAnsi"/>
                <w:color w:val="000000"/>
                <w:kern w:val="0"/>
                <w:lang w:eastAsia="en-NZ"/>
                <w14:ligatures w14:val="none"/>
              </w:rPr>
              <w:t>Dissolved Urea</w:t>
            </w:r>
          </w:p>
        </w:tc>
      </w:tr>
      <w:tr w:rsidR="005050CE" w:rsidRPr="005050CE" w14:paraId="58393365" w14:textId="77777777" w:rsidTr="005668F9">
        <w:trPr>
          <w:trHeight w:val="420"/>
        </w:trPr>
        <w:tc>
          <w:tcPr>
            <w:tcW w:w="0" w:type="auto"/>
            <w:tcBorders>
              <w:left w:val="single" w:sz="4" w:space="0" w:color="4F6228"/>
              <w:right w:val="single" w:sz="4" w:space="0" w:color="4F6228"/>
            </w:tcBorders>
            <w:shd w:val="clear" w:color="auto" w:fill="C2D69B"/>
            <w:tcMar>
              <w:top w:w="0" w:type="dxa"/>
              <w:left w:w="108" w:type="dxa"/>
              <w:bottom w:w="0" w:type="dxa"/>
              <w:right w:w="108" w:type="dxa"/>
            </w:tcMar>
            <w:vAlign w:val="center"/>
            <w:hideMark/>
          </w:tcPr>
          <w:p w14:paraId="28E247CD" w14:textId="77777777" w:rsidR="005050CE" w:rsidRPr="005050CE" w:rsidRDefault="005050CE" w:rsidP="005050CE">
            <w:pPr>
              <w:spacing w:before="120" w:after="240" w:line="240" w:lineRule="auto"/>
              <w:rPr>
                <w:rFonts w:ascii="Times New Roman" w:eastAsia="Times New Roman" w:hAnsi="Times New Roman" w:cs="Times New Roman"/>
                <w:kern w:val="0"/>
                <w:sz w:val="20"/>
                <w:szCs w:val="20"/>
                <w:lang w:eastAsia="en-NZ"/>
                <w14:ligatures w14:val="none"/>
              </w:rPr>
            </w:pPr>
            <w:r w:rsidRPr="005050CE">
              <w:rPr>
                <w:rFonts w:ascii="Arial" w:eastAsia="Times New Roman" w:hAnsi="Arial" w:cs="Arial"/>
                <w:color w:val="000000"/>
                <w:kern w:val="0"/>
                <w:sz w:val="20"/>
                <w:szCs w:val="20"/>
                <w:lang w:eastAsia="en-NZ"/>
                <w14:ligatures w14:val="none"/>
              </w:rPr>
              <w:t>4</w:t>
            </w:r>
          </w:p>
        </w:tc>
        <w:tc>
          <w:tcPr>
            <w:tcW w:w="2091" w:type="dxa"/>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0BE9536D" w14:textId="77777777" w:rsidR="005050CE" w:rsidRPr="005050CE" w:rsidRDefault="005050CE" w:rsidP="005050CE">
            <w:pPr>
              <w:spacing w:before="120" w:after="240" w:line="240" w:lineRule="auto"/>
              <w:rPr>
                <w:rFonts w:ascii="Times New Roman" w:eastAsia="Times New Roman" w:hAnsi="Times New Roman" w:cs="Times New Roman"/>
                <w:kern w:val="0"/>
                <w:sz w:val="20"/>
                <w:szCs w:val="20"/>
                <w:lang w:eastAsia="en-NZ"/>
                <w14:ligatures w14:val="none"/>
              </w:rPr>
            </w:pPr>
            <w:r w:rsidRPr="005050CE">
              <w:rPr>
                <w:rFonts w:ascii="Arial" w:eastAsia="Times New Roman" w:hAnsi="Arial" w:cs="Arial"/>
                <w:color w:val="000000"/>
                <w:kern w:val="0"/>
                <w:sz w:val="20"/>
                <w:szCs w:val="20"/>
                <w:lang w:eastAsia="en-NZ"/>
                <w14:ligatures w14:val="none"/>
              </w:rPr>
              <w:t>?</w:t>
            </w:r>
          </w:p>
        </w:tc>
        <w:tc>
          <w:tcPr>
            <w:tcW w:w="2057" w:type="dxa"/>
            <w:tcBorders>
              <w:left w:val="single" w:sz="4" w:space="0" w:color="4F6228"/>
              <w:right w:val="single" w:sz="4" w:space="0" w:color="4F6228"/>
            </w:tcBorders>
            <w:shd w:val="clear" w:color="auto" w:fill="EBF1DD"/>
            <w:tcMar>
              <w:top w:w="0" w:type="dxa"/>
              <w:left w:w="108" w:type="dxa"/>
              <w:bottom w:w="0" w:type="dxa"/>
              <w:right w:w="108" w:type="dxa"/>
            </w:tcMar>
            <w:vAlign w:val="center"/>
            <w:hideMark/>
          </w:tcPr>
          <w:p w14:paraId="113228CF" w14:textId="77777777" w:rsidR="005050CE" w:rsidRPr="005050CE" w:rsidRDefault="005050CE" w:rsidP="005050CE">
            <w:pPr>
              <w:spacing w:after="0" w:line="240" w:lineRule="auto"/>
              <w:rPr>
                <w:rFonts w:ascii="Times New Roman" w:eastAsia="Times New Roman" w:hAnsi="Times New Roman" w:cs="Times New Roman"/>
                <w:kern w:val="0"/>
                <w:sz w:val="20"/>
                <w:szCs w:val="20"/>
                <w:lang w:eastAsia="en-NZ"/>
                <w14:ligatures w14:val="none"/>
              </w:rPr>
            </w:pPr>
          </w:p>
        </w:tc>
        <w:tc>
          <w:tcPr>
            <w:tcW w:w="3964" w:type="dxa"/>
            <w:tcBorders>
              <w:left w:val="single" w:sz="4" w:space="0" w:color="4F6228"/>
              <w:right w:val="single" w:sz="4" w:space="0" w:color="4F6228"/>
            </w:tcBorders>
            <w:shd w:val="clear" w:color="auto" w:fill="D7E3BC"/>
            <w:tcMar>
              <w:top w:w="0" w:type="dxa"/>
              <w:left w:w="108" w:type="dxa"/>
              <w:bottom w:w="0" w:type="dxa"/>
              <w:right w:w="108" w:type="dxa"/>
            </w:tcMar>
            <w:vAlign w:val="center"/>
            <w:hideMark/>
          </w:tcPr>
          <w:p w14:paraId="4C54471E" w14:textId="77777777" w:rsidR="005050CE" w:rsidRPr="005050CE" w:rsidRDefault="005050CE" w:rsidP="005050CE">
            <w:pPr>
              <w:spacing w:before="120" w:after="240" w:line="240" w:lineRule="auto"/>
              <w:rPr>
                <w:rFonts w:ascii="Times New Roman" w:eastAsia="Times New Roman" w:hAnsi="Times New Roman" w:cs="Times New Roman"/>
                <w:kern w:val="0"/>
                <w:sz w:val="20"/>
                <w:szCs w:val="20"/>
                <w:lang w:eastAsia="en-NZ"/>
                <w14:ligatures w14:val="none"/>
              </w:rPr>
            </w:pPr>
            <w:r w:rsidRPr="005050CE">
              <w:rPr>
                <w:rFonts w:ascii="Arial" w:eastAsia="Times New Roman" w:hAnsi="Arial" w:cs="Arial"/>
                <w:color w:val="000000"/>
                <w:kern w:val="0"/>
                <w:sz w:val="20"/>
                <w:szCs w:val="20"/>
                <w:lang w:eastAsia="en-NZ"/>
                <w14:ligatures w14:val="none"/>
              </w:rPr>
              <w:t>Other?</w:t>
            </w:r>
          </w:p>
        </w:tc>
      </w:tr>
    </w:tbl>
    <w:p w14:paraId="5F92F5FC" w14:textId="77777777" w:rsidR="005050CE" w:rsidRPr="005050CE" w:rsidRDefault="005050CE" w:rsidP="005050CE">
      <w:pPr>
        <w:spacing w:line="240" w:lineRule="auto"/>
        <w:rPr>
          <w:b/>
          <w:bCs/>
          <w:lang w:val="en-US"/>
        </w:rPr>
      </w:pPr>
      <w:r w:rsidRPr="005050CE">
        <w:rPr>
          <w:b/>
          <w:bCs/>
          <w:lang w:val="en-US"/>
        </w:rPr>
        <w:t>4.Test Conditions</w:t>
      </w:r>
    </w:p>
    <w:p w14:paraId="23F39BD7" w14:textId="77777777" w:rsidR="005050CE" w:rsidRPr="005050CE" w:rsidRDefault="005050CE" w:rsidP="005050CE">
      <w:pPr>
        <w:spacing w:line="240" w:lineRule="auto"/>
        <w:rPr>
          <w:lang w:val="en-US"/>
        </w:rPr>
      </w:pPr>
      <w:r w:rsidRPr="005050CE">
        <w:rPr>
          <w:lang w:val="en-US"/>
        </w:rPr>
        <w:t>Two stationary tests are proposed, boom section pressures and combined nozzle flow test.  The following conditions must be met for measuring transverse distribution.</w:t>
      </w:r>
    </w:p>
    <w:tbl>
      <w:tblPr>
        <w:tblW w:w="0" w:type="auto"/>
        <w:tblCellMar>
          <w:top w:w="15" w:type="dxa"/>
          <w:left w:w="15" w:type="dxa"/>
          <w:bottom w:w="15" w:type="dxa"/>
          <w:right w:w="15" w:type="dxa"/>
        </w:tblCellMar>
        <w:tblLook w:val="04A0" w:firstRow="1" w:lastRow="0" w:firstColumn="1" w:lastColumn="0" w:noHBand="0" w:noVBand="1"/>
      </w:tblPr>
      <w:tblGrid>
        <w:gridCol w:w="1957"/>
        <w:gridCol w:w="7059"/>
      </w:tblGrid>
      <w:tr w:rsidR="005050CE" w:rsidRPr="005050CE" w14:paraId="3AEB67D7"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53AE5208" w14:textId="77777777" w:rsidR="005050CE" w:rsidRPr="006755B7" w:rsidRDefault="005050CE" w:rsidP="005050CE">
            <w:pPr>
              <w:spacing w:before="120" w:after="240" w:line="240" w:lineRule="auto"/>
              <w:rPr>
                <w:rFonts w:eastAsia="Times New Roman" w:cstheme="minorHAnsi"/>
                <w:kern w:val="0"/>
                <w:sz w:val="24"/>
                <w:szCs w:val="24"/>
                <w:lang w:eastAsia="en-NZ"/>
                <w14:ligatures w14:val="none"/>
              </w:rPr>
            </w:pPr>
            <w:r w:rsidRPr="006755B7">
              <w:rPr>
                <w:rFonts w:eastAsia="Times New Roman" w:cstheme="minorHAnsi"/>
                <w:color w:val="000000"/>
                <w:kern w:val="0"/>
                <w:lang w:eastAsia="en-NZ"/>
                <w14:ligatures w14:val="none"/>
              </w:rPr>
              <w:t>Conventional spray boom </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618DEF52" w14:textId="77777777" w:rsidR="005050CE" w:rsidRPr="006755B7" w:rsidRDefault="005050CE" w:rsidP="005050CE">
            <w:pPr>
              <w:spacing w:before="120" w:after="240" w:line="240" w:lineRule="auto"/>
              <w:rPr>
                <w:rFonts w:eastAsia="Times New Roman" w:cstheme="minorHAnsi"/>
                <w:kern w:val="0"/>
                <w:sz w:val="24"/>
                <w:szCs w:val="24"/>
                <w:lang w:eastAsia="en-NZ"/>
                <w14:ligatures w14:val="none"/>
              </w:rPr>
            </w:pPr>
            <w:r w:rsidRPr="006755B7">
              <w:rPr>
                <w:rFonts w:eastAsia="Times New Roman" w:cstheme="minorHAnsi"/>
                <w:color w:val="000000"/>
                <w:kern w:val="0"/>
                <w:lang w:eastAsia="en-NZ"/>
                <w14:ligatures w14:val="none"/>
              </w:rPr>
              <w:t>Sprayers are to be clean and in sound working condition.  The spray systems must have a display of pressure that can be observed by the operator while applying liquid nutrient.</w:t>
            </w:r>
          </w:p>
          <w:p w14:paraId="1D2304A4" w14:textId="77777777" w:rsidR="005050CE" w:rsidRPr="006755B7" w:rsidRDefault="005050CE" w:rsidP="005050CE">
            <w:pPr>
              <w:spacing w:before="120" w:after="240" w:line="240" w:lineRule="auto"/>
              <w:rPr>
                <w:rFonts w:eastAsia="Times New Roman" w:cstheme="minorHAnsi"/>
                <w:kern w:val="0"/>
                <w:sz w:val="24"/>
                <w:szCs w:val="24"/>
                <w:lang w:eastAsia="en-NZ"/>
                <w14:ligatures w14:val="none"/>
              </w:rPr>
            </w:pPr>
            <w:r w:rsidRPr="006755B7">
              <w:rPr>
                <w:rFonts w:eastAsia="Times New Roman" w:cstheme="minorHAnsi"/>
                <w:color w:val="000000"/>
                <w:kern w:val="0"/>
                <w:lang w:eastAsia="en-NZ"/>
                <w14:ligatures w14:val="none"/>
              </w:rPr>
              <w:t>Operators should also be confident their flow meter is accurate and in sound working condition so that target application rates are being achieved.  This should be continually tracked by keeping a running tally of volume used and hectares covered.  </w:t>
            </w:r>
          </w:p>
          <w:p w14:paraId="6375D7F9" w14:textId="4B870D28" w:rsidR="005050CE" w:rsidRPr="006755B7" w:rsidRDefault="005050CE" w:rsidP="005050CE">
            <w:pPr>
              <w:spacing w:before="120" w:after="240" w:line="240" w:lineRule="auto"/>
              <w:rPr>
                <w:rFonts w:eastAsia="Times New Roman" w:cstheme="minorHAnsi"/>
                <w:kern w:val="0"/>
                <w:sz w:val="24"/>
                <w:szCs w:val="24"/>
                <w:lang w:eastAsia="en-NZ"/>
                <w14:ligatures w14:val="none"/>
              </w:rPr>
            </w:pPr>
            <w:r w:rsidRPr="006755B7">
              <w:rPr>
                <w:rFonts w:eastAsia="Times New Roman" w:cstheme="minorHAnsi"/>
                <w:color w:val="000000"/>
                <w:kern w:val="0"/>
                <w:lang w:eastAsia="en-NZ"/>
                <w14:ligatures w14:val="none"/>
              </w:rPr>
              <w:t xml:space="preserve">Evidence of the use of an auditable GPS tracking device is mandatory for sprayers that are to have Spreadmark Test Certificates.  It is expected that the positioning accuracy of the GPS is to within one metre.  The tracking system </w:t>
            </w:r>
            <w:r w:rsidR="003B40D0">
              <w:rPr>
                <w:rFonts w:eastAsia="Times New Roman" w:cstheme="minorHAnsi"/>
                <w:color w:val="000000"/>
                <w:kern w:val="0"/>
                <w:lang w:eastAsia="en-NZ"/>
                <w14:ligatures w14:val="none"/>
              </w:rPr>
              <w:t>must</w:t>
            </w:r>
            <w:r w:rsidRPr="006755B7">
              <w:rPr>
                <w:rFonts w:eastAsia="Times New Roman" w:cstheme="minorHAnsi"/>
                <w:color w:val="000000"/>
                <w:kern w:val="0"/>
                <w:lang w:eastAsia="en-NZ"/>
                <w14:ligatures w14:val="none"/>
              </w:rPr>
              <w:t xml:space="preserve"> be able to verify that the placement of nutrient (mapping) is within the target area and in accordance with the Spreadmark test protocols so that nutrient is not spread into environmentally sensitive areas.</w:t>
            </w:r>
          </w:p>
        </w:tc>
      </w:tr>
      <w:tr w:rsidR="005050CE" w:rsidRPr="005050CE" w14:paraId="68F963B5"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73FB6AA9" w14:textId="77777777" w:rsidR="005050CE" w:rsidRPr="006755B7" w:rsidRDefault="005050CE" w:rsidP="005050CE">
            <w:pPr>
              <w:spacing w:before="120" w:after="240" w:line="240" w:lineRule="auto"/>
              <w:rPr>
                <w:rFonts w:eastAsia="Times New Roman" w:cstheme="minorHAnsi"/>
                <w:kern w:val="0"/>
                <w:sz w:val="24"/>
                <w:szCs w:val="24"/>
                <w:lang w:eastAsia="en-NZ"/>
                <w14:ligatures w14:val="none"/>
              </w:rPr>
            </w:pPr>
            <w:r w:rsidRPr="006755B7">
              <w:rPr>
                <w:rFonts w:eastAsia="Times New Roman" w:cstheme="minorHAnsi"/>
                <w:color w:val="000000"/>
                <w:kern w:val="0"/>
                <w:lang w:eastAsia="en-NZ"/>
                <w14:ligatures w14:val="none"/>
              </w:rPr>
              <w:t>Tank fill</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0F37C125" w14:textId="77777777" w:rsidR="005050CE" w:rsidRPr="006755B7" w:rsidRDefault="005050CE" w:rsidP="005050CE">
            <w:pPr>
              <w:spacing w:before="120" w:after="240" w:line="240" w:lineRule="auto"/>
              <w:rPr>
                <w:rFonts w:eastAsia="Times New Roman" w:cstheme="minorHAnsi"/>
                <w:kern w:val="0"/>
                <w:sz w:val="24"/>
                <w:szCs w:val="24"/>
                <w:lang w:eastAsia="en-NZ"/>
                <w14:ligatures w14:val="none"/>
              </w:rPr>
            </w:pPr>
            <w:r w:rsidRPr="006755B7">
              <w:rPr>
                <w:rFonts w:eastAsia="Times New Roman" w:cstheme="minorHAnsi"/>
                <w:color w:val="000000"/>
                <w:kern w:val="0"/>
                <w:lang w:eastAsia="en-NZ"/>
                <w14:ligatures w14:val="none"/>
              </w:rPr>
              <w:t>Sufficient to carry out boom sections tests and combined nozzle flow test with water (usu. half full).</w:t>
            </w:r>
          </w:p>
        </w:tc>
      </w:tr>
      <w:tr w:rsidR="005050CE" w:rsidRPr="005050CE" w14:paraId="508D3447"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42730A98" w14:textId="77777777" w:rsidR="005050CE" w:rsidRPr="006755B7" w:rsidRDefault="005050CE" w:rsidP="005050CE">
            <w:pPr>
              <w:spacing w:before="120" w:after="240" w:line="240" w:lineRule="auto"/>
              <w:rPr>
                <w:rFonts w:eastAsia="Times New Roman" w:cstheme="minorHAnsi"/>
                <w:kern w:val="0"/>
                <w:sz w:val="24"/>
                <w:szCs w:val="24"/>
                <w:lang w:eastAsia="en-NZ"/>
                <w14:ligatures w14:val="none"/>
              </w:rPr>
            </w:pPr>
            <w:r w:rsidRPr="006755B7">
              <w:rPr>
                <w:rFonts w:eastAsia="Times New Roman" w:cstheme="minorHAnsi"/>
                <w:color w:val="000000"/>
                <w:kern w:val="0"/>
                <w:lang w:eastAsia="en-NZ"/>
                <w14:ligatures w14:val="none"/>
              </w:rPr>
              <w:t>Application rate</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526A3C04" w14:textId="4749F897" w:rsidR="005050CE" w:rsidRPr="006755B7" w:rsidRDefault="005050CE" w:rsidP="005050CE">
            <w:pPr>
              <w:spacing w:before="120" w:after="240" w:line="240" w:lineRule="auto"/>
              <w:rPr>
                <w:rFonts w:eastAsia="Times New Roman" w:cstheme="minorHAnsi"/>
                <w:kern w:val="0"/>
                <w:sz w:val="24"/>
                <w:szCs w:val="24"/>
                <w:lang w:eastAsia="en-NZ"/>
                <w14:ligatures w14:val="none"/>
              </w:rPr>
            </w:pPr>
            <w:r w:rsidRPr="006755B7">
              <w:rPr>
                <w:rFonts w:eastAsia="Times New Roman" w:cstheme="minorHAnsi"/>
                <w:color w:val="000000"/>
                <w:kern w:val="0"/>
                <w:lang w:eastAsia="en-NZ"/>
                <w14:ligatures w14:val="none"/>
              </w:rPr>
              <w:t>Application rates used during test are to be the typical rates for that product by the operato</w:t>
            </w:r>
            <w:r w:rsidR="0073479E">
              <w:rPr>
                <w:rFonts w:eastAsia="Times New Roman" w:cstheme="minorHAnsi"/>
                <w:color w:val="000000"/>
                <w:kern w:val="0"/>
                <w:lang w:eastAsia="en-NZ"/>
                <w14:ligatures w14:val="none"/>
              </w:rPr>
              <w:t>r</w:t>
            </w:r>
            <w:r w:rsidR="0073479E">
              <w:rPr>
                <w:rStyle w:val="FootnoteReference"/>
                <w:rFonts w:eastAsia="Times New Roman" w:cstheme="minorHAnsi"/>
                <w:color w:val="000000"/>
                <w:kern w:val="0"/>
                <w:lang w:eastAsia="en-NZ"/>
                <w14:ligatures w14:val="none"/>
              </w:rPr>
              <w:footnoteReference w:id="7"/>
            </w:r>
          </w:p>
        </w:tc>
      </w:tr>
      <w:tr w:rsidR="005050CE" w:rsidRPr="005050CE" w14:paraId="0C610243"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541B64EE" w14:textId="4C0759C3" w:rsidR="005050CE" w:rsidRPr="006755B7" w:rsidRDefault="005050CE" w:rsidP="005050CE">
            <w:pPr>
              <w:spacing w:before="120" w:after="240" w:line="240" w:lineRule="auto"/>
              <w:rPr>
                <w:rFonts w:eastAsia="Times New Roman" w:cstheme="minorHAnsi"/>
                <w:kern w:val="0"/>
                <w:sz w:val="24"/>
                <w:szCs w:val="24"/>
                <w:lang w:eastAsia="en-NZ"/>
                <w14:ligatures w14:val="none"/>
              </w:rPr>
            </w:pPr>
            <w:r w:rsidRPr="006755B7">
              <w:rPr>
                <w:rFonts w:eastAsia="Times New Roman" w:cstheme="minorHAnsi"/>
                <w:color w:val="000000"/>
                <w:kern w:val="0"/>
                <w:lang w:eastAsia="en-NZ"/>
                <w14:ligatures w14:val="none"/>
              </w:rPr>
              <w:t>Wheel speed sensor</w:t>
            </w:r>
            <w:r w:rsidR="004D5F6F">
              <w:rPr>
                <w:rFonts w:eastAsia="Times New Roman" w:cstheme="minorHAnsi"/>
                <w:color w:val="000000"/>
                <w:kern w:val="0"/>
                <w:lang w:eastAsia="en-NZ"/>
                <w14:ligatures w14:val="none"/>
              </w:rPr>
              <w:t xml:space="preserve"> (groundspread only)</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39FBCFD5" w14:textId="77777777" w:rsidR="005050CE" w:rsidRPr="006755B7" w:rsidRDefault="005050CE" w:rsidP="005050CE">
            <w:pPr>
              <w:spacing w:before="120" w:after="240" w:line="240" w:lineRule="auto"/>
              <w:rPr>
                <w:rFonts w:eastAsia="Times New Roman" w:cstheme="minorHAnsi"/>
                <w:kern w:val="0"/>
                <w:sz w:val="24"/>
                <w:szCs w:val="24"/>
                <w:lang w:eastAsia="en-NZ"/>
                <w14:ligatures w14:val="none"/>
              </w:rPr>
            </w:pPr>
            <w:r w:rsidRPr="006755B7">
              <w:rPr>
                <w:rFonts w:eastAsia="Times New Roman" w:cstheme="minorHAnsi"/>
                <w:color w:val="000000"/>
                <w:kern w:val="0"/>
                <w:lang w:eastAsia="en-NZ"/>
                <w14:ligatures w14:val="none"/>
              </w:rPr>
              <w:t>At least 50m distance, preferably 100m distance, average of two runs</w:t>
            </w:r>
          </w:p>
        </w:tc>
      </w:tr>
      <w:tr w:rsidR="00EF4E13" w:rsidRPr="005050CE" w14:paraId="009F0A3C"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tcPr>
          <w:p w14:paraId="6665A695" w14:textId="08F0236C" w:rsidR="00EF4E13" w:rsidRPr="006755B7" w:rsidRDefault="00EF4E13" w:rsidP="005050CE">
            <w:pPr>
              <w:spacing w:before="120" w:after="240" w:line="240" w:lineRule="auto"/>
              <w:rPr>
                <w:rFonts w:eastAsia="Times New Roman" w:cstheme="minorHAnsi"/>
                <w:color w:val="000000"/>
                <w:kern w:val="0"/>
                <w:lang w:eastAsia="en-NZ"/>
                <w14:ligatures w14:val="none"/>
              </w:rPr>
            </w:pPr>
            <w:r>
              <w:rPr>
                <w:rFonts w:eastAsia="Times New Roman" w:cstheme="minorHAnsi"/>
                <w:color w:val="000000"/>
                <w:kern w:val="0"/>
                <w:lang w:eastAsia="en-NZ"/>
                <w14:ligatures w14:val="none"/>
              </w:rPr>
              <w:t>Airspeed sensor</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tcPr>
          <w:p w14:paraId="64B4A15B" w14:textId="30AF0C8C" w:rsidR="00EF4E13" w:rsidRPr="006755B7" w:rsidRDefault="00CB32C7" w:rsidP="005050CE">
            <w:pPr>
              <w:spacing w:before="120" w:after="240" w:line="240" w:lineRule="auto"/>
              <w:rPr>
                <w:rFonts w:eastAsia="Times New Roman" w:cstheme="minorHAnsi"/>
                <w:color w:val="000000"/>
                <w:kern w:val="0"/>
                <w:lang w:eastAsia="en-NZ"/>
                <w14:ligatures w14:val="none"/>
              </w:rPr>
            </w:pPr>
            <w:r>
              <w:rPr>
                <w:rFonts w:eastAsia="Times New Roman" w:cstheme="minorHAnsi"/>
                <w:color w:val="000000"/>
                <w:kern w:val="0"/>
                <w:lang w:eastAsia="en-NZ"/>
                <w14:ligatures w14:val="none"/>
              </w:rPr>
              <w:t xml:space="preserve">Airspeed </w:t>
            </w:r>
            <w:r w:rsidR="007A3DE0">
              <w:rPr>
                <w:rFonts w:eastAsia="Times New Roman" w:cstheme="minorHAnsi"/>
                <w:color w:val="000000"/>
                <w:kern w:val="0"/>
                <w:lang w:eastAsia="en-NZ"/>
                <w14:ligatures w14:val="none"/>
              </w:rPr>
              <w:t>indicator and means of displaying ground speed</w:t>
            </w:r>
          </w:p>
        </w:tc>
      </w:tr>
    </w:tbl>
    <w:p w14:paraId="4617CFDE" w14:textId="36A03DEA" w:rsidR="005050CE" w:rsidRPr="005050CE" w:rsidRDefault="005050CE" w:rsidP="0073479E">
      <w:pPr>
        <w:spacing w:after="0" w:line="240" w:lineRule="auto"/>
        <w:rPr>
          <w:sz w:val="18"/>
          <w:szCs w:val="18"/>
          <w:lang w:val="en-US"/>
        </w:rPr>
      </w:pPr>
    </w:p>
    <w:p w14:paraId="1A8E435E" w14:textId="77777777" w:rsidR="005050CE" w:rsidRPr="005050CE" w:rsidRDefault="005050CE" w:rsidP="005050CE">
      <w:pPr>
        <w:spacing w:line="240" w:lineRule="auto"/>
        <w:rPr>
          <w:lang w:val="en-US"/>
        </w:rPr>
      </w:pPr>
    </w:p>
    <w:p w14:paraId="5EBB227F" w14:textId="77777777" w:rsidR="005050CE" w:rsidRPr="005050CE" w:rsidRDefault="005050CE" w:rsidP="005050CE">
      <w:pPr>
        <w:spacing w:line="240" w:lineRule="auto"/>
        <w:rPr>
          <w:b/>
          <w:bCs/>
          <w:lang w:val="en-US"/>
        </w:rPr>
      </w:pPr>
      <w:r w:rsidRPr="005050CE">
        <w:rPr>
          <w:b/>
          <w:bCs/>
          <w:lang w:val="en-US"/>
        </w:rPr>
        <w:t>5.Measurement Techniques</w:t>
      </w:r>
    </w:p>
    <w:p w14:paraId="4C274890" w14:textId="77777777" w:rsidR="005050CE" w:rsidRPr="005050CE" w:rsidRDefault="005050CE" w:rsidP="005050CE">
      <w:pPr>
        <w:spacing w:line="240" w:lineRule="auto"/>
        <w:rPr>
          <w:lang w:val="en-US"/>
        </w:rPr>
      </w:pPr>
      <w:r w:rsidRPr="005050CE">
        <w:rPr>
          <w:lang w:val="en-US"/>
        </w:rPr>
        <w:t>Two tests are proposed to be performed on a stationary conventional boom sprayer.</w:t>
      </w:r>
    </w:p>
    <w:p w14:paraId="1A17A1C5" w14:textId="4DB24154" w:rsidR="005050CE" w:rsidRPr="00042D22" w:rsidRDefault="005050CE" w:rsidP="00042D22">
      <w:pPr>
        <w:pStyle w:val="ListParagraph"/>
        <w:numPr>
          <w:ilvl w:val="1"/>
          <w:numId w:val="14"/>
        </w:numPr>
        <w:spacing w:line="240" w:lineRule="auto"/>
        <w:rPr>
          <w:b/>
          <w:bCs/>
          <w:lang w:val="en-US"/>
        </w:rPr>
      </w:pPr>
      <w:r w:rsidRPr="00042D22">
        <w:rPr>
          <w:b/>
          <w:bCs/>
          <w:lang w:val="en-US"/>
        </w:rPr>
        <w:t>Boom section test</w:t>
      </w:r>
    </w:p>
    <w:p w14:paraId="17A5B3CC" w14:textId="77777777" w:rsidR="005050CE" w:rsidRPr="005050CE" w:rsidRDefault="005050CE" w:rsidP="007A3DE0">
      <w:pPr>
        <w:spacing w:line="240" w:lineRule="auto"/>
        <w:jc w:val="both"/>
        <w:rPr>
          <w:lang w:val="en-US"/>
        </w:rPr>
      </w:pPr>
      <w:r w:rsidRPr="005050CE">
        <w:rPr>
          <w:lang w:val="en-US"/>
        </w:rPr>
        <w:t>Aim: Ensure each boom section is operating at the same pressure.</w:t>
      </w:r>
    </w:p>
    <w:p w14:paraId="4AEF598C" w14:textId="77777777" w:rsidR="005050CE" w:rsidRPr="005050CE" w:rsidRDefault="005050CE" w:rsidP="007A3DE0">
      <w:pPr>
        <w:spacing w:line="240" w:lineRule="auto"/>
        <w:jc w:val="both"/>
        <w:rPr>
          <w:lang w:val="en-US"/>
        </w:rPr>
      </w:pPr>
      <w:r w:rsidRPr="005050CE">
        <w:rPr>
          <w:lang w:val="en-US"/>
        </w:rPr>
        <w:t>Sprayers will have at least three boom sections and may have up to seven.  Unfold the boom and with the nutrient nozzles turned on, run the stationary sprayer at required operating pressure for the selected forward speed and target volume application rate (e.g. 15 km/</w:t>
      </w:r>
      <w:proofErr w:type="spellStart"/>
      <w:r w:rsidRPr="005050CE">
        <w:rPr>
          <w:lang w:val="en-US"/>
        </w:rPr>
        <w:t>hr</w:t>
      </w:r>
      <w:proofErr w:type="spellEnd"/>
      <w:r w:rsidRPr="005050CE">
        <w:rPr>
          <w:lang w:val="en-US"/>
        </w:rPr>
        <w:t xml:space="preserve">, 150 l/ha).   Once the operator is happy that the system is running at target rate, fit a pressure gauge to each boom section in sequence (suggest work left to right looking forward).  Figure 3 shows potential methods for measurement of spray boom pressure.  The cap and nozzle are removed, a gauge is </w:t>
      </w:r>
      <w:proofErr w:type="gramStart"/>
      <w:r w:rsidRPr="005050CE">
        <w:rPr>
          <w:lang w:val="en-US"/>
        </w:rPr>
        <w:t>fitted</w:t>
      </w:r>
      <w:proofErr w:type="gramEnd"/>
      <w:r w:rsidRPr="005050CE">
        <w:rPr>
          <w:lang w:val="en-US"/>
        </w:rPr>
        <w:t xml:space="preserve"> and the nozzle is fitted to the base of the gauge.   Record the pressure for each boom section.   Boom pressures should be within 10% of </w:t>
      </w:r>
      <w:proofErr w:type="gramStart"/>
      <w:r w:rsidRPr="005050CE">
        <w:rPr>
          <w:lang w:val="en-US"/>
        </w:rPr>
        <w:t>each other</w:t>
      </w:r>
      <w:proofErr w:type="gramEnd"/>
      <w:r w:rsidRPr="005050CE">
        <w:rPr>
          <w:lang w:val="en-US"/>
        </w:rPr>
        <w:t xml:space="preserve"> e.g. range of 0.2 bar for an average pressure of 2 bar.  </w:t>
      </w:r>
    </w:p>
    <w:p w14:paraId="5B4B31CA" w14:textId="77777777" w:rsidR="005050CE" w:rsidRPr="005050CE" w:rsidRDefault="005050CE" w:rsidP="005050CE">
      <w:pPr>
        <w:spacing w:line="240" w:lineRule="auto"/>
        <w:rPr>
          <w:lang w:val="en-US"/>
        </w:rPr>
      </w:pPr>
    </w:p>
    <w:tbl>
      <w:tblPr>
        <w:tblStyle w:val="TableGrid1"/>
        <w:tblW w:w="0" w:type="auto"/>
        <w:tblLook w:val="04A0" w:firstRow="1" w:lastRow="0" w:firstColumn="1" w:lastColumn="0" w:noHBand="0" w:noVBand="1"/>
      </w:tblPr>
      <w:tblGrid>
        <w:gridCol w:w="2256"/>
        <w:gridCol w:w="2253"/>
        <w:gridCol w:w="2254"/>
        <w:gridCol w:w="2253"/>
      </w:tblGrid>
      <w:tr w:rsidR="005050CE" w:rsidRPr="005050CE" w14:paraId="58A5A781" w14:textId="77777777" w:rsidTr="005668F9">
        <w:tc>
          <w:tcPr>
            <w:tcW w:w="2256" w:type="dxa"/>
          </w:tcPr>
          <w:p w14:paraId="6EC1FBBB" w14:textId="77777777" w:rsidR="005050CE" w:rsidRPr="005050CE" w:rsidRDefault="005050CE" w:rsidP="005050CE">
            <w:pPr>
              <w:rPr>
                <w:lang w:val="en-US"/>
              </w:rPr>
            </w:pPr>
            <w:r w:rsidRPr="005050CE">
              <w:rPr>
                <w:noProof/>
                <w:lang w:val="en-US"/>
              </w:rPr>
              <w:drawing>
                <wp:inline distT="0" distB="0" distL="0" distR="0" wp14:anchorId="10627231" wp14:editId="2BC38EC1">
                  <wp:extent cx="1288740" cy="1275080"/>
                  <wp:effectExtent l="0" t="0" r="6985" b="1270"/>
                  <wp:docPr id="16602629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11852"/>
                          <a:stretch/>
                        </pic:blipFill>
                        <pic:spPr bwMode="auto">
                          <a:xfrm>
                            <a:off x="0" y="0"/>
                            <a:ext cx="1292162" cy="12784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53" w:type="dxa"/>
          </w:tcPr>
          <w:p w14:paraId="22E31D9C" w14:textId="77777777" w:rsidR="005050CE" w:rsidRPr="005050CE" w:rsidRDefault="005050CE" w:rsidP="005050CE">
            <w:pPr>
              <w:rPr>
                <w:lang w:val="en-US"/>
              </w:rPr>
            </w:pPr>
            <w:r w:rsidRPr="005050CE">
              <w:rPr>
                <w:noProof/>
                <w:lang w:val="en-US"/>
              </w:rPr>
              <w:drawing>
                <wp:inline distT="0" distB="0" distL="0" distR="0" wp14:anchorId="08484A7F" wp14:editId="585EAF72">
                  <wp:extent cx="1193800" cy="1326444"/>
                  <wp:effectExtent l="0" t="0" r="6350" b="7620"/>
                  <wp:docPr id="12388906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b="6977"/>
                          <a:stretch/>
                        </pic:blipFill>
                        <pic:spPr bwMode="auto">
                          <a:xfrm>
                            <a:off x="0" y="0"/>
                            <a:ext cx="1200368" cy="13337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54" w:type="dxa"/>
          </w:tcPr>
          <w:p w14:paraId="7DF3BA11" w14:textId="77777777" w:rsidR="005050CE" w:rsidRPr="005050CE" w:rsidRDefault="005050CE" w:rsidP="005050CE">
            <w:pPr>
              <w:rPr>
                <w:lang w:val="en-US"/>
              </w:rPr>
            </w:pPr>
            <w:r w:rsidRPr="005050CE">
              <w:rPr>
                <w:noProof/>
                <w:lang w:val="en-US"/>
              </w:rPr>
              <w:drawing>
                <wp:inline distT="0" distB="0" distL="0" distR="0" wp14:anchorId="437D82ED" wp14:editId="4114A81F">
                  <wp:extent cx="1279762" cy="1244600"/>
                  <wp:effectExtent l="0" t="0" r="0" b="0"/>
                  <wp:docPr id="16645551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8569" cy="1253165"/>
                          </a:xfrm>
                          <a:prstGeom prst="rect">
                            <a:avLst/>
                          </a:prstGeom>
                          <a:noFill/>
                        </pic:spPr>
                      </pic:pic>
                    </a:graphicData>
                  </a:graphic>
                </wp:inline>
              </w:drawing>
            </w:r>
          </w:p>
        </w:tc>
        <w:tc>
          <w:tcPr>
            <w:tcW w:w="2253" w:type="dxa"/>
          </w:tcPr>
          <w:p w14:paraId="0A361A8F" w14:textId="77777777" w:rsidR="005050CE" w:rsidRPr="005050CE" w:rsidRDefault="005050CE" w:rsidP="005050CE">
            <w:pPr>
              <w:rPr>
                <w:lang w:val="en-US"/>
              </w:rPr>
            </w:pPr>
            <w:r w:rsidRPr="005050CE">
              <w:rPr>
                <w:noProof/>
                <w:lang w:val="en-US"/>
              </w:rPr>
              <w:drawing>
                <wp:inline distT="0" distB="0" distL="0" distR="0" wp14:anchorId="508287ED" wp14:editId="3AA560B2">
                  <wp:extent cx="1200785" cy="1268095"/>
                  <wp:effectExtent l="0" t="0" r="0" b="8255"/>
                  <wp:docPr id="20686805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785" cy="1268095"/>
                          </a:xfrm>
                          <a:prstGeom prst="rect">
                            <a:avLst/>
                          </a:prstGeom>
                          <a:noFill/>
                        </pic:spPr>
                      </pic:pic>
                    </a:graphicData>
                  </a:graphic>
                </wp:inline>
              </w:drawing>
            </w:r>
          </w:p>
        </w:tc>
      </w:tr>
      <w:tr w:rsidR="005050CE" w:rsidRPr="005050CE" w14:paraId="330D87EB" w14:textId="77777777" w:rsidTr="005668F9">
        <w:tc>
          <w:tcPr>
            <w:tcW w:w="2256" w:type="dxa"/>
          </w:tcPr>
          <w:p w14:paraId="6617EB9C" w14:textId="77777777" w:rsidR="005050CE" w:rsidRPr="005050CE" w:rsidRDefault="005050CE" w:rsidP="005050CE">
            <w:pPr>
              <w:rPr>
                <w:lang w:val="en-US"/>
              </w:rPr>
            </w:pPr>
            <w:r w:rsidRPr="005050CE">
              <w:rPr>
                <w:lang w:val="en-US"/>
              </w:rPr>
              <w:t>Commercially available option (Spot On®, electronic)</w:t>
            </w:r>
          </w:p>
        </w:tc>
        <w:tc>
          <w:tcPr>
            <w:tcW w:w="2253" w:type="dxa"/>
          </w:tcPr>
          <w:p w14:paraId="3EB6A127" w14:textId="77777777" w:rsidR="005050CE" w:rsidRPr="005050CE" w:rsidRDefault="005050CE" w:rsidP="005050CE">
            <w:pPr>
              <w:rPr>
                <w:lang w:val="en-US"/>
              </w:rPr>
            </w:pPr>
            <w:r w:rsidRPr="005050CE">
              <w:rPr>
                <w:lang w:val="en-US"/>
              </w:rPr>
              <w:t xml:space="preserve">AAMS </w:t>
            </w:r>
            <w:proofErr w:type="spellStart"/>
            <w:r w:rsidRPr="005050CE">
              <w:rPr>
                <w:lang w:val="en-US"/>
              </w:rPr>
              <w:t>Salvarini</w:t>
            </w:r>
            <w:proofErr w:type="spellEnd"/>
            <w:r w:rsidRPr="005050CE">
              <w:rPr>
                <w:lang w:val="en-US"/>
              </w:rPr>
              <w:t xml:space="preserve"> (courtesy of M. Keane)</w:t>
            </w:r>
          </w:p>
        </w:tc>
        <w:tc>
          <w:tcPr>
            <w:tcW w:w="2254" w:type="dxa"/>
          </w:tcPr>
          <w:p w14:paraId="7F513B11" w14:textId="77777777" w:rsidR="005050CE" w:rsidRPr="005050CE" w:rsidRDefault="005050CE" w:rsidP="005050CE">
            <w:pPr>
              <w:rPr>
                <w:lang w:val="en-US"/>
              </w:rPr>
            </w:pPr>
            <w:r w:rsidRPr="005050CE">
              <w:rPr>
                <w:lang w:val="en-US"/>
              </w:rPr>
              <w:t xml:space="preserve">Bottom entry ¼” Isometric 63 mm Gauge fitted on a ¼” Tee with Quick </w:t>
            </w:r>
            <w:proofErr w:type="spellStart"/>
            <w:r w:rsidRPr="005050CE">
              <w:rPr>
                <w:lang w:val="en-US"/>
              </w:rPr>
              <w:t>TeeJet</w:t>
            </w:r>
            <w:proofErr w:type="spellEnd"/>
            <w:r w:rsidRPr="005050CE">
              <w:rPr>
                <w:lang w:val="en-US"/>
              </w:rPr>
              <w:t xml:space="preserve"> cap*</w:t>
            </w:r>
          </w:p>
        </w:tc>
        <w:tc>
          <w:tcPr>
            <w:tcW w:w="2253" w:type="dxa"/>
          </w:tcPr>
          <w:p w14:paraId="6A53FC93" w14:textId="77777777" w:rsidR="005050CE" w:rsidRPr="005050CE" w:rsidRDefault="005050CE" w:rsidP="005050CE">
            <w:pPr>
              <w:rPr>
                <w:lang w:val="en-US"/>
              </w:rPr>
            </w:pPr>
            <w:r w:rsidRPr="005050CE">
              <w:rPr>
                <w:lang w:val="en-US"/>
              </w:rPr>
              <w:t xml:space="preserve">Bottom entry standard mechanical 100mm </w:t>
            </w:r>
            <w:proofErr w:type="gramStart"/>
            <w:r w:rsidRPr="005050CE">
              <w:rPr>
                <w:lang w:val="en-US"/>
              </w:rPr>
              <w:t xml:space="preserve">pressure  </w:t>
            </w:r>
            <w:proofErr w:type="spellStart"/>
            <w:r w:rsidRPr="005050CE">
              <w:rPr>
                <w:lang w:val="en-US"/>
              </w:rPr>
              <w:t>guage</w:t>
            </w:r>
            <w:proofErr w:type="spellEnd"/>
            <w:proofErr w:type="gramEnd"/>
            <w:r w:rsidRPr="005050CE">
              <w:rPr>
                <w:lang w:val="en-US"/>
              </w:rPr>
              <w:t xml:space="preserve">  (Silvan NZ)</w:t>
            </w:r>
            <w:r w:rsidRPr="005050CE">
              <w:rPr>
                <w:lang w:val="en-US"/>
              </w:rPr>
              <w:tab/>
            </w:r>
          </w:p>
        </w:tc>
      </w:tr>
    </w:tbl>
    <w:p w14:paraId="29240728" w14:textId="77777777" w:rsidR="005050CE" w:rsidRPr="005050CE" w:rsidRDefault="005050CE" w:rsidP="005050CE">
      <w:pPr>
        <w:spacing w:line="240" w:lineRule="auto"/>
        <w:rPr>
          <w:sz w:val="18"/>
          <w:szCs w:val="18"/>
          <w:lang w:val="en-US"/>
        </w:rPr>
      </w:pPr>
      <w:r w:rsidRPr="005050CE">
        <w:rPr>
          <w:sz w:val="18"/>
          <w:szCs w:val="18"/>
          <w:lang w:val="en-US"/>
        </w:rPr>
        <w:t>*</w:t>
      </w:r>
      <w:proofErr w:type="gramStart"/>
      <w:r w:rsidRPr="005050CE">
        <w:rPr>
          <w:sz w:val="18"/>
          <w:szCs w:val="18"/>
          <w:lang w:val="en-US"/>
        </w:rPr>
        <w:t>other</w:t>
      </w:r>
      <w:proofErr w:type="gramEnd"/>
      <w:r w:rsidRPr="005050CE">
        <w:rPr>
          <w:sz w:val="18"/>
          <w:szCs w:val="18"/>
          <w:lang w:val="en-US"/>
        </w:rPr>
        <w:t xml:space="preserve"> fittings may be needed for systems supplied by other manufacturers </w:t>
      </w:r>
      <w:proofErr w:type="spellStart"/>
      <w:r w:rsidRPr="005050CE">
        <w:rPr>
          <w:sz w:val="18"/>
          <w:szCs w:val="18"/>
          <w:lang w:val="en-US"/>
        </w:rPr>
        <w:t>eg</w:t>
      </w:r>
      <w:proofErr w:type="spellEnd"/>
      <w:r w:rsidRPr="005050CE">
        <w:rPr>
          <w:sz w:val="18"/>
          <w:szCs w:val="18"/>
          <w:lang w:val="en-US"/>
        </w:rPr>
        <w:t xml:space="preserve"> HARDI, ARAG, BFS.</w:t>
      </w:r>
    </w:p>
    <w:p w14:paraId="663359A1" w14:textId="77777777" w:rsidR="005050CE" w:rsidRPr="005050CE" w:rsidRDefault="005050CE" w:rsidP="005050CE">
      <w:pPr>
        <w:spacing w:line="240" w:lineRule="auto"/>
        <w:rPr>
          <w:b/>
          <w:bCs/>
          <w:lang w:val="en-US"/>
        </w:rPr>
      </w:pPr>
      <w:r w:rsidRPr="005050CE">
        <w:rPr>
          <w:b/>
          <w:bCs/>
          <w:lang w:val="en-US"/>
        </w:rPr>
        <w:t>Figure 3 Possible methods set up for boom pressure measurement</w:t>
      </w:r>
    </w:p>
    <w:p w14:paraId="5B0255FF" w14:textId="77777777" w:rsidR="005050CE" w:rsidRPr="005050CE" w:rsidRDefault="005050CE" w:rsidP="007A3DE0">
      <w:pPr>
        <w:spacing w:line="240" w:lineRule="auto"/>
        <w:jc w:val="both"/>
        <w:rPr>
          <w:lang w:val="en-US"/>
        </w:rPr>
      </w:pPr>
      <w:r w:rsidRPr="005050CE">
        <w:rPr>
          <w:lang w:val="en-US"/>
        </w:rPr>
        <w:t xml:space="preserve">The test pressure gauge should be calibrated to ensure it is reading true pressure in the target range which is likely to be between 1 and 4 bar.  A range on the gauge of 0 to 6 bar would be suitable.  Check the test gauge after testing six boom sprayers or more often if necessary and at least annually. </w:t>
      </w:r>
    </w:p>
    <w:p w14:paraId="03A9EFAE" w14:textId="77777777" w:rsidR="005050CE" w:rsidRPr="005050CE" w:rsidRDefault="005050CE" w:rsidP="007A3DE0">
      <w:pPr>
        <w:spacing w:line="240" w:lineRule="auto"/>
        <w:jc w:val="both"/>
        <w:rPr>
          <w:lang w:val="en-US"/>
        </w:rPr>
      </w:pPr>
      <w:r w:rsidRPr="005050CE">
        <w:rPr>
          <w:lang w:val="en-US"/>
        </w:rPr>
        <w:t>Pressure gauge calibration – Several methods can be used to check the test gauge.</w:t>
      </w:r>
    </w:p>
    <w:p w14:paraId="295CAA19" w14:textId="77777777" w:rsidR="005050CE" w:rsidRPr="005050CE" w:rsidRDefault="005050CE" w:rsidP="007A3DE0">
      <w:pPr>
        <w:numPr>
          <w:ilvl w:val="1"/>
          <w:numId w:val="7"/>
        </w:numPr>
        <w:spacing w:line="240" w:lineRule="auto"/>
        <w:contextualSpacing/>
        <w:jc w:val="both"/>
        <w:rPr>
          <w:lang w:val="en-US"/>
        </w:rPr>
      </w:pPr>
      <w:r w:rsidRPr="005050CE">
        <w:rPr>
          <w:lang w:val="en-US"/>
        </w:rPr>
        <w:t>On a test rig fit a calibration</w:t>
      </w:r>
      <w:r w:rsidRPr="005050CE">
        <w:rPr>
          <w:vertAlign w:val="superscript"/>
          <w:lang w:val="en-US"/>
        </w:rPr>
        <w:t>6</w:t>
      </w:r>
      <w:r w:rsidRPr="005050CE">
        <w:rPr>
          <w:lang w:val="en-US"/>
        </w:rPr>
        <w:t xml:space="preserve"> gauge and your test gauge with tee junction.  They should read the same pressure at 250 kPa (2.5 bar) within +/- 10 kPa</w:t>
      </w:r>
    </w:p>
    <w:p w14:paraId="62F64A49" w14:textId="77777777" w:rsidR="005050CE" w:rsidRPr="005050CE" w:rsidRDefault="005050CE" w:rsidP="007A3DE0">
      <w:pPr>
        <w:numPr>
          <w:ilvl w:val="1"/>
          <w:numId w:val="7"/>
        </w:numPr>
        <w:spacing w:line="240" w:lineRule="auto"/>
        <w:contextualSpacing/>
        <w:jc w:val="both"/>
        <w:rPr>
          <w:lang w:val="en-US"/>
        </w:rPr>
      </w:pPr>
      <w:r w:rsidRPr="005050CE">
        <w:rPr>
          <w:lang w:val="en-US"/>
        </w:rPr>
        <w:t xml:space="preserve">Purchase 5 gauges, compare them on a test rig, choose the most consistent two, one as test gauge and one as a calibration gauge.  These two gauges should read within 10 kPa of each other.  </w:t>
      </w:r>
    </w:p>
    <w:p w14:paraId="1D8CBE1E" w14:textId="77777777" w:rsidR="005050CE" w:rsidRPr="005050CE" w:rsidRDefault="005050CE" w:rsidP="007A3DE0">
      <w:pPr>
        <w:numPr>
          <w:ilvl w:val="1"/>
          <w:numId w:val="7"/>
        </w:numPr>
        <w:spacing w:line="240" w:lineRule="auto"/>
        <w:contextualSpacing/>
        <w:jc w:val="both"/>
        <w:rPr>
          <w:lang w:val="en-US"/>
        </w:rPr>
      </w:pPr>
      <w:r w:rsidRPr="005050CE">
        <w:rPr>
          <w:lang w:val="en-US"/>
        </w:rPr>
        <w:t xml:space="preserve">WIKA brand pressure gauges can be sent to WIKA Instruments Ltd in Auckland for bench testing.  A calibration report can be provided.  </w:t>
      </w:r>
    </w:p>
    <w:p w14:paraId="7781D299" w14:textId="77777777" w:rsidR="007D324A" w:rsidRDefault="005050CE" w:rsidP="007A3DE0">
      <w:pPr>
        <w:numPr>
          <w:ilvl w:val="1"/>
          <w:numId w:val="7"/>
        </w:numPr>
        <w:spacing w:line="240" w:lineRule="auto"/>
        <w:contextualSpacing/>
        <w:jc w:val="both"/>
        <w:rPr>
          <w:lang w:val="en-US"/>
        </w:rPr>
      </w:pPr>
      <w:r w:rsidRPr="005050CE">
        <w:rPr>
          <w:lang w:val="en-US"/>
        </w:rPr>
        <w:t xml:space="preserve">Custom Pressure Systems NZ Ltd also provide a testing service with offices in Auckland, New Plymouth and Christchurch. </w:t>
      </w:r>
    </w:p>
    <w:p w14:paraId="3B665872" w14:textId="7B095CA9" w:rsidR="005050CE" w:rsidRPr="005050CE" w:rsidRDefault="005050CE" w:rsidP="007D324A">
      <w:pPr>
        <w:spacing w:line="240" w:lineRule="auto"/>
        <w:ind w:left="1080"/>
        <w:contextualSpacing/>
        <w:rPr>
          <w:lang w:val="en-US"/>
        </w:rPr>
      </w:pPr>
    </w:p>
    <w:p w14:paraId="605BD532" w14:textId="77777777" w:rsidR="005050CE" w:rsidRPr="005050CE" w:rsidRDefault="005050CE" w:rsidP="005050CE">
      <w:pPr>
        <w:spacing w:line="240" w:lineRule="auto"/>
        <w:rPr>
          <w:sz w:val="18"/>
          <w:szCs w:val="18"/>
          <w:lang w:val="en-US"/>
        </w:rPr>
      </w:pPr>
      <w:r w:rsidRPr="005050CE">
        <w:rPr>
          <w:sz w:val="18"/>
          <w:szCs w:val="18"/>
          <w:vertAlign w:val="superscript"/>
          <w:lang w:val="en-US"/>
        </w:rPr>
        <w:lastRenderedPageBreak/>
        <w:t>6</w:t>
      </w:r>
      <w:r w:rsidRPr="005050CE">
        <w:rPr>
          <w:sz w:val="18"/>
          <w:szCs w:val="18"/>
          <w:lang w:val="en-US"/>
        </w:rPr>
        <w:t>The calibration gauge is likely to be physically larger than a gauge found on a sprayer and should be compared with another calibration gauge annually or biannually.  Note 1 bar = 100kPa = 14.5 psi</w:t>
      </w:r>
    </w:p>
    <w:p w14:paraId="3E0EB974" w14:textId="77777777" w:rsidR="005050CE" w:rsidRPr="005050CE" w:rsidRDefault="005050CE" w:rsidP="005050CE">
      <w:pPr>
        <w:spacing w:line="240" w:lineRule="auto"/>
        <w:rPr>
          <w:b/>
          <w:bCs/>
          <w:lang w:val="en-US"/>
        </w:rPr>
      </w:pPr>
    </w:p>
    <w:p w14:paraId="55ED6C42" w14:textId="72E5DD7A" w:rsidR="005050CE" w:rsidRPr="00042D22" w:rsidRDefault="005050CE" w:rsidP="00042D22">
      <w:pPr>
        <w:pStyle w:val="ListParagraph"/>
        <w:numPr>
          <w:ilvl w:val="1"/>
          <w:numId w:val="14"/>
        </w:numPr>
        <w:spacing w:line="240" w:lineRule="auto"/>
        <w:rPr>
          <w:b/>
          <w:bCs/>
          <w:lang w:val="en-US"/>
        </w:rPr>
      </w:pPr>
      <w:r w:rsidRPr="00042D22">
        <w:rPr>
          <w:b/>
          <w:bCs/>
          <w:lang w:val="en-US"/>
        </w:rPr>
        <w:t xml:space="preserve">Combined nozzle flow test </w:t>
      </w:r>
    </w:p>
    <w:p w14:paraId="105F0702" w14:textId="77777777" w:rsidR="005050CE" w:rsidRPr="005050CE" w:rsidRDefault="005050CE" w:rsidP="007A3DE0">
      <w:pPr>
        <w:spacing w:line="240" w:lineRule="auto"/>
        <w:jc w:val="both"/>
        <w:rPr>
          <w:lang w:val="en-US"/>
        </w:rPr>
      </w:pPr>
      <w:r w:rsidRPr="005050CE">
        <w:rPr>
          <w:lang w:val="en-US"/>
        </w:rPr>
        <w:t>Aim: Ensure the nozzles are operating within 10% of their specification</w:t>
      </w:r>
    </w:p>
    <w:p w14:paraId="289C81D7" w14:textId="77777777" w:rsidR="005050CE" w:rsidRPr="005050CE" w:rsidRDefault="005050CE" w:rsidP="007A3DE0">
      <w:pPr>
        <w:spacing w:line="240" w:lineRule="auto"/>
        <w:jc w:val="both"/>
        <w:rPr>
          <w:lang w:val="en-US"/>
        </w:rPr>
      </w:pPr>
      <w:r w:rsidRPr="005050CE">
        <w:rPr>
          <w:lang w:val="en-US"/>
        </w:rPr>
        <w:t xml:space="preserve">Even application across the width of the boom will be achieved </w:t>
      </w:r>
      <w:proofErr w:type="gramStart"/>
      <w:r w:rsidRPr="005050CE">
        <w:rPr>
          <w:lang w:val="en-US"/>
        </w:rPr>
        <w:t>as long as</w:t>
      </w:r>
      <w:proofErr w:type="gramEnd"/>
      <w:r w:rsidRPr="005050CE">
        <w:rPr>
          <w:lang w:val="en-US"/>
        </w:rPr>
        <w:t xml:space="preserve"> each nozzle is performing as designed and nozzles are at least 0.5 m above the target.  The flow meter used by the sprayer controller can be used for combined nozzle flow test for the boom.</w:t>
      </w:r>
    </w:p>
    <w:p w14:paraId="172DCBBB" w14:textId="77777777" w:rsidR="005050CE" w:rsidRPr="005050CE" w:rsidRDefault="005050CE" w:rsidP="005050CE">
      <w:pPr>
        <w:spacing w:line="240" w:lineRule="auto"/>
      </w:pPr>
      <w:r w:rsidRPr="005050CE">
        <w:rPr>
          <w:u w:val="single"/>
        </w:rPr>
        <w:t>For Stream type and standard nozzles</w:t>
      </w:r>
    </w:p>
    <w:p w14:paraId="7D956A44" w14:textId="70B56CF0" w:rsidR="005050CE" w:rsidRPr="005050CE" w:rsidRDefault="005050CE" w:rsidP="003C4D53">
      <w:pPr>
        <w:spacing w:after="0" w:line="240" w:lineRule="auto"/>
        <w:jc w:val="both"/>
        <w:rPr>
          <w:lang w:val="en-US"/>
        </w:rPr>
      </w:pPr>
      <w:r w:rsidRPr="005050CE">
        <w:rPr>
          <w:lang w:val="en-US"/>
        </w:rPr>
        <w:t xml:space="preserve">Check that all nozzles are the same along the length of the boom.  Identify the specified flow rate for 2 bar pressure from the manufacturers flow chart e.g. 2.01 </w:t>
      </w:r>
      <w:proofErr w:type="spellStart"/>
      <w:r w:rsidRPr="005050CE">
        <w:rPr>
          <w:lang w:val="en-US"/>
        </w:rPr>
        <w:t>litres</w:t>
      </w:r>
      <w:proofErr w:type="spellEnd"/>
      <w:r w:rsidRPr="005050CE">
        <w:rPr>
          <w:lang w:val="en-US"/>
        </w:rPr>
        <w:t xml:space="preserve"> /minute.  Calculate the expected total boom flow per minute (flow per nozzle x number of nozzles) e.g. 48 nozzles x 2.01 </w:t>
      </w:r>
      <w:proofErr w:type="spellStart"/>
      <w:r w:rsidRPr="005050CE">
        <w:rPr>
          <w:lang w:val="en-US"/>
        </w:rPr>
        <w:t>litres</w:t>
      </w:r>
      <w:proofErr w:type="spellEnd"/>
      <w:r w:rsidRPr="005050CE">
        <w:rPr>
          <w:lang w:val="en-US"/>
        </w:rPr>
        <w:t xml:space="preserve">/minute = 96.48 </w:t>
      </w:r>
      <w:proofErr w:type="spellStart"/>
      <w:r w:rsidRPr="005050CE">
        <w:rPr>
          <w:lang w:val="en-US"/>
        </w:rPr>
        <w:t>litres</w:t>
      </w:r>
      <w:proofErr w:type="spellEnd"/>
      <w:r w:rsidRPr="005050CE">
        <w:rPr>
          <w:lang w:val="en-US"/>
        </w:rPr>
        <w:t xml:space="preserve">/minute.  With the boom unfolded, fit a pressure gauge to boom section as for 1 (boom section test).  Run the sprayer and adjust pressure and flow so that boom pressure is 2 bar.  Turn the boom sections off, set the total flow on the controller to zero or record the total flow to date or maybe current tank volume (depends on the controller set up).  This is the start volume.  Turn on the whole boom for exactly 2 minutes.  Record the volume sprayed from the controller. Compare this with </w:t>
      </w:r>
      <w:proofErr w:type="gramStart"/>
      <w:r w:rsidRPr="005050CE">
        <w:rPr>
          <w:lang w:val="en-US"/>
        </w:rPr>
        <w:t>expected</w:t>
      </w:r>
      <w:proofErr w:type="gramEnd"/>
      <w:r w:rsidRPr="005050CE">
        <w:rPr>
          <w:lang w:val="en-US"/>
        </w:rPr>
        <w:t xml:space="preserve"> flow per minute x 2.  Where the flow is more than 5% different from than expected e.g. actual total flow less than 183 </w:t>
      </w:r>
      <w:proofErr w:type="spellStart"/>
      <w:r w:rsidRPr="005050CE">
        <w:rPr>
          <w:lang w:val="en-US"/>
        </w:rPr>
        <w:t>litres</w:t>
      </w:r>
      <w:proofErr w:type="spellEnd"/>
      <w:r w:rsidRPr="005050CE">
        <w:rPr>
          <w:lang w:val="en-US"/>
        </w:rPr>
        <w:t xml:space="preserve"> or more than 202 </w:t>
      </w:r>
      <w:proofErr w:type="spellStart"/>
      <w:r w:rsidRPr="005050CE">
        <w:rPr>
          <w:lang w:val="en-US"/>
        </w:rPr>
        <w:t>litres</w:t>
      </w:r>
      <w:proofErr w:type="spellEnd"/>
      <w:r w:rsidRPr="005050CE">
        <w:rPr>
          <w:lang w:val="en-US"/>
        </w:rPr>
        <w:t xml:space="preserve">, the flow from some individual nozzles is likely more than 10% different from expected.  At this point individual nozzle flow should be checked to identify and replace (or clean) any such nozzles.  </w:t>
      </w:r>
    </w:p>
    <w:p w14:paraId="46368ECF" w14:textId="77777777" w:rsidR="00AD060B" w:rsidRDefault="00AD060B" w:rsidP="005050CE">
      <w:pPr>
        <w:spacing w:line="240" w:lineRule="auto"/>
        <w:rPr>
          <w:u w:val="single"/>
        </w:rPr>
      </w:pPr>
    </w:p>
    <w:p w14:paraId="681AB706" w14:textId="0C702B37" w:rsidR="005050CE" w:rsidRPr="005050CE" w:rsidRDefault="005050CE" w:rsidP="005050CE">
      <w:pPr>
        <w:spacing w:line="240" w:lineRule="auto"/>
        <w:rPr>
          <w:u w:val="single"/>
        </w:rPr>
      </w:pPr>
      <w:r w:rsidRPr="005050CE">
        <w:rPr>
          <w:u w:val="single"/>
        </w:rPr>
        <w:t>For Dribble bar type nozzles</w:t>
      </w:r>
    </w:p>
    <w:p w14:paraId="63EC58FD" w14:textId="77777777" w:rsidR="005050CE" w:rsidRPr="005050CE" w:rsidRDefault="005050CE" w:rsidP="00AD060B">
      <w:pPr>
        <w:spacing w:line="240" w:lineRule="auto"/>
        <w:jc w:val="both"/>
        <w:rPr>
          <w:lang w:val="en-US"/>
        </w:rPr>
      </w:pPr>
      <w:r w:rsidRPr="005050CE">
        <w:rPr>
          <w:lang w:val="en-US"/>
        </w:rPr>
        <w:t xml:space="preserve">Dribble or Stream bar type nozzles have manually adjustable flow systems to change orifice size.  These systems are not manufactured with the same precision as stream type or standard </w:t>
      </w:r>
      <w:proofErr w:type="gramStart"/>
      <w:r w:rsidRPr="005050CE">
        <w:rPr>
          <w:lang w:val="en-US"/>
        </w:rPr>
        <w:t>nozzles</w:t>
      </w:r>
      <w:proofErr w:type="gramEnd"/>
      <w:r w:rsidRPr="005050CE">
        <w:rPr>
          <w:lang w:val="en-US"/>
        </w:rPr>
        <w:t xml:space="preserve"> so it is not practical to compare actual with expected flows.  </w:t>
      </w:r>
      <w:proofErr w:type="gramStart"/>
      <w:r w:rsidRPr="005050CE">
        <w:rPr>
          <w:lang w:val="en-US"/>
        </w:rPr>
        <w:t>Also</w:t>
      </w:r>
      <w:proofErr w:type="gramEnd"/>
      <w:r w:rsidRPr="005050CE">
        <w:rPr>
          <w:lang w:val="en-US"/>
        </w:rPr>
        <w:t xml:space="preserve"> they can be subject to variation in positioning with manual adjustment. </w:t>
      </w:r>
    </w:p>
    <w:p w14:paraId="21A20911" w14:textId="6F71B05C" w:rsidR="005050CE" w:rsidRPr="00E420E1" w:rsidRDefault="005050CE" w:rsidP="00E420E1">
      <w:pPr>
        <w:spacing w:line="240" w:lineRule="auto"/>
        <w:jc w:val="both"/>
        <w:rPr>
          <w:lang w:val="en-US"/>
        </w:rPr>
      </w:pPr>
      <w:r w:rsidRPr="005050CE">
        <w:rPr>
          <w:lang w:val="en-US"/>
        </w:rPr>
        <w:t>Unfold the boom and check that all dribble bars have the same orifice setting.  Run the stationary sprayer at required operating pressure for the selected forward speed and target volume application rate (e.g. 15 km/</w:t>
      </w:r>
      <w:proofErr w:type="spellStart"/>
      <w:r w:rsidRPr="005050CE">
        <w:rPr>
          <w:lang w:val="en-US"/>
        </w:rPr>
        <w:t>hr</w:t>
      </w:r>
      <w:proofErr w:type="spellEnd"/>
      <w:r w:rsidRPr="005050CE">
        <w:rPr>
          <w:lang w:val="en-US"/>
        </w:rPr>
        <w:t>, 150 l/ha).   Once the operator is happy that the system is running at target rate, collect the flow from every second dribble bar for with Spreadmark trays or bucket for one minut</w:t>
      </w:r>
      <w:r w:rsidR="00E420E1">
        <w:rPr>
          <w:lang w:val="en-US"/>
        </w:rPr>
        <w:t>e</w:t>
      </w:r>
      <w:r w:rsidR="00E420E1">
        <w:rPr>
          <w:rStyle w:val="FootnoteReference"/>
          <w:lang w:val="en-US"/>
        </w:rPr>
        <w:footnoteReference w:id="8"/>
      </w:r>
      <w:r w:rsidRPr="005050CE">
        <w:rPr>
          <w:lang w:val="en-US"/>
        </w:rPr>
        <w:t xml:space="preserve">. The volume of water collected can be measured with a </w:t>
      </w:r>
      <w:proofErr w:type="gramStart"/>
      <w:r w:rsidRPr="005050CE">
        <w:rPr>
          <w:lang w:val="en-US"/>
        </w:rPr>
        <w:t xml:space="preserve">5 </w:t>
      </w:r>
      <w:proofErr w:type="spellStart"/>
      <w:r w:rsidRPr="005050CE">
        <w:rPr>
          <w:lang w:val="en-US"/>
        </w:rPr>
        <w:t>litre</w:t>
      </w:r>
      <w:proofErr w:type="spellEnd"/>
      <w:proofErr w:type="gramEnd"/>
      <w:r w:rsidRPr="005050CE">
        <w:rPr>
          <w:lang w:val="en-US"/>
        </w:rPr>
        <w:t xml:space="preserve"> calibrated measuring jug or weighed and used to calculate a C of V for evenness of spread across the boom (See item 10, Reporting, below).</w:t>
      </w:r>
    </w:p>
    <w:p w14:paraId="60429BE1" w14:textId="77777777" w:rsidR="005050CE" w:rsidRPr="005050CE" w:rsidRDefault="005050CE" w:rsidP="005050CE">
      <w:pPr>
        <w:spacing w:line="240" w:lineRule="auto"/>
        <w:rPr>
          <w:b/>
          <w:bCs/>
          <w:lang w:val="en-US"/>
        </w:rPr>
      </w:pPr>
      <w:r w:rsidRPr="005050CE">
        <w:rPr>
          <w:b/>
          <w:bCs/>
          <w:lang w:val="en-US"/>
        </w:rPr>
        <w:t>6.Measurement Standards</w:t>
      </w:r>
    </w:p>
    <w:p w14:paraId="7662E43F" w14:textId="77777777" w:rsidR="005050CE" w:rsidRPr="005050CE" w:rsidRDefault="005050CE" w:rsidP="005050CE">
      <w:pPr>
        <w:spacing w:line="240" w:lineRule="auto"/>
        <w:rPr>
          <w:lang w:val="en-US"/>
        </w:rPr>
      </w:pPr>
      <w:r w:rsidRPr="005050CE">
        <w:rPr>
          <w:lang w:val="en-US"/>
        </w:rPr>
        <w:t>The following measurements will be made and recorded for each certification test.</w:t>
      </w:r>
    </w:p>
    <w:tbl>
      <w:tblPr>
        <w:tblW w:w="0" w:type="auto"/>
        <w:tblCellMar>
          <w:top w:w="15" w:type="dxa"/>
          <w:left w:w="15" w:type="dxa"/>
          <w:bottom w:w="15" w:type="dxa"/>
          <w:right w:w="15" w:type="dxa"/>
        </w:tblCellMar>
        <w:tblLook w:val="04A0" w:firstRow="1" w:lastRow="0" w:firstColumn="1" w:lastColumn="0" w:noHBand="0" w:noVBand="1"/>
      </w:tblPr>
      <w:tblGrid>
        <w:gridCol w:w="2496"/>
        <w:gridCol w:w="2752"/>
        <w:gridCol w:w="3768"/>
      </w:tblGrid>
      <w:tr w:rsidR="005050CE" w:rsidRPr="005050CE" w14:paraId="7EF8D67E"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4ADB391A" w14:textId="77777777" w:rsidR="005050CE" w:rsidRPr="005050CE" w:rsidRDefault="005050CE" w:rsidP="005050CE">
            <w:pPr>
              <w:spacing w:line="240" w:lineRule="auto"/>
            </w:pPr>
            <w:r w:rsidRPr="005050CE">
              <w:rPr>
                <w:b/>
                <w:bCs/>
              </w:rPr>
              <w:t>Factor</w:t>
            </w:r>
          </w:p>
        </w:t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572A69CB" w14:textId="77777777" w:rsidR="005050CE" w:rsidRPr="005050CE" w:rsidRDefault="005050CE" w:rsidP="005050CE">
            <w:pPr>
              <w:spacing w:line="240" w:lineRule="auto"/>
            </w:pPr>
            <w:r w:rsidRPr="005050CE">
              <w:rPr>
                <w:b/>
                <w:bCs/>
              </w:rPr>
              <w:t>Measurement</w:t>
            </w:r>
          </w:p>
        </w:tc>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hideMark/>
          </w:tcPr>
          <w:p w14:paraId="1129784D" w14:textId="77777777" w:rsidR="005050CE" w:rsidRPr="005050CE" w:rsidRDefault="005050CE" w:rsidP="005050CE">
            <w:pPr>
              <w:spacing w:line="240" w:lineRule="auto"/>
            </w:pPr>
            <w:r w:rsidRPr="005050CE">
              <w:rPr>
                <w:b/>
                <w:bCs/>
              </w:rPr>
              <w:t>Standard</w:t>
            </w:r>
          </w:p>
        </w:tc>
      </w:tr>
      <w:tr w:rsidR="005050CE" w:rsidRPr="005050CE" w14:paraId="74079DBF"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2B49ACA4" w14:textId="77777777" w:rsidR="005050CE" w:rsidRPr="005050CE" w:rsidRDefault="005050CE" w:rsidP="005050CE">
            <w:pPr>
              <w:spacing w:line="240" w:lineRule="auto"/>
              <w:rPr>
                <w:sz w:val="21"/>
                <w:szCs w:val="21"/>
              </w:rPr>
            </w:pPr>
            <w:r w:rsidRPr="005050CE">
              <w:rPr>
                <w:sz w:val="21"/>
                <w:szCs w:val="21"/>
              </w:rPr>
              <w:t>Boom section pressure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4470D5A3" w14:textId="77777777" w:rsidR="005050CE" w:rsidRPr="005050CE" w:rsidRDefault="005050CE" w:rsidP="005050CE">
            <w:pPr>
              <w:spacing w:line="240" w:lineRule="auto"/>
              <w:rPr>
                <w:sz w:val="21"/>
                <w:szCs w:val="21"/>
              </w:rPr>
            </w:pPr>
            <w:r w:rsidRPr="005050CE">
              <w:rPr>
                <w:sz w:val="21"/>
                <w:szCs w:val="21"/>
              </w:rPr>
              <w:t>Bar or kPa</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37C0A1B0" w14:textId="77777777" w:rsidR="005050CE" w:rsidRPr="005050CE" w:rsidRDefault="005050CE" w:rsidP="005050CE">
            <w:pPr>
              <w:spacing w:line="240" w:lineRule="auto"/>
              <w:rPr>
                <w:sz w:val="21"/>
                <w:szCs w:val="21"/>
              </w:rPr>
            </w:pPr>
            <w:r w:rsidRPr="005050CE">
              <w:rPr>
                <w:sz w:val="21"/>
                <w:szCs w:val="21"/>
              </w:rPr>
              <w:t>Test gauge +/- 10kPa of calibration gauge </w:t>
            </w:r>
          </w:p>
        </w:tc>
      </w:tr>
      <w:tr w:rsidR="005050CE" w:rsidRPr="005050CE" w14:paraId="33B19AEB"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633BAD28" w14:textId="77777777" w:rsidR="005050CE" w:rsidRPr="005050CE" w:rsidRDefault="005050CE" w:rsidP="005050CE">
            <w:pPr>
              <w:spacing w:line="240" w:lineRule="auto"/>
              <w:rPr>
                <w:sz w:val="21"/>
                <w:szCs w:val="21"/>
              </w:rPr>
            </w:pPr>
            <w:r w:rsidRPr="005050CE">
              <w:rPr>
                <w:sz w:val="21"/>
                <w:szCs w:val="21"/>
              </w:rPr>
              <w:t>Distribution of boom pressure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036ED2A4" w14:textId="77777777" w:rsidR="005050CE" w:rsidRPr="005050CE" w:rsidRDefault="005050CE" w:rsidP="005050CE">
            <w:pPr>
              <w:spacing w:line="240" w:lineRule="auto"/>
              <w:rPr>
                <w:sz w:val="21"/>
                <w:szCs w:val="21"/>
              </w:rPr>
            </w:pPr>
            <w:r w:rsidRPr="005050CE">
              <w:rPr>
                <w:sz w:val="21"/>
                <w:szCs w:val="21"/>
              </w:rPr>
              <w:t>Coefficient of Variation</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4D93A1C3" w14:textId="77777777" w:rsidR="005050CE" w:rsidRPr="005050CE" w:rsidRDefault="005050CE" w:rsidP="005050CE">
            <w:pPr>
              <w:spacing w:line="240" w:lineRule="auto"/>
              <w:rPr>
                <w:sz w:val="21"/>
                <w:szCs w:val="21"/>
              </w:rPr>
            </w:pPr>
            <w:r w:rsidRPr="005050CE">
              <w:rPr>
                <w:sz w:val="21"/>
                <w:szCs w:val="21"/>
              </w:rPr>
              <w:t>&lt; 5% </w:t>
            </w:r>
          </w:p>
        </w:tc>
      </w:tr>
      <w:tr w:rsidR="005050CE" w:rsidRPr="005050CE" w14:paraId="6070F50E"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3F91047C" w14:textId="77777777" w:rsidR="005050CE" w:rsidRPr="005050CE" w:rsidRDefault="005050CE" w:rsidP="005050CE">
            <w:pPr>
              <w:spacing w:line="240" w:lineRule="auto"/>
              <w:rPr>
                <w:sz w:val="21"/>
                <w:szCs w:val="21"/>
              </w:rPr>
            </w:pPr>
            <w:r w:rsidRPr="005050CE">
              <w:rPr>
                <w:sz w:val="21"/>
                <w:szCs w:val="21"/>
              </w:rPr>
              <w:lastRenderedPageBreak/>
              <w:t>Combined nozzle flow</w:t>
            </w:r>
          </w:p>
          <w:p w14:paraId="3965DE17" w14:textId="77777777" w:rsidR="005050CE" w:rsidRPr="005050CE" w:rsidRDefault="005050CE" w:rsidP="005050CE">
            <w:pPr>
              <w:spacing w:line="240" w:lineRule="auto"/>
              <w:rPr>
                <w:sz w:val="21"/>
                <w:szCs w:val="21"/>
              </w:rPr>
            </w:pPr>
            <w:r w:rsidRPr="005050CE">
              <w:rPr>
                <w:sz w:val="21"/>
                <w:szCs w:val="21"/>
              </w:rPr>
              <w:t>(Stream or standard nozzles type)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1405F86B" w14:textId="77777777" w:rsidR="005050CE" w:rsidRPr="005050CE" w:rsidRDefault="005050CE" w:rsidP="005050CE">
            <w:pPr>
              <w:spacing w:line="240" w:lineRule="auto"/>
              <w:rPr>
                <w:sz w:val="21"/>
                <w:szCs w:val="21"/>
              </w:rPr>
            </w:pPr>
            <w:r w:rsidRPr="005050CE">
              <w:rPr>
                <w:sz w:val="21"/>
                <w:szCs w:val="21"/>
              </w:rPr>
              <w:t>Litres/minute at 2 bar nozzle pressure</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4417CF1A" w14:textId="21AC07F1" w:rsidR="005050CE" w:rsidRPr="005050CE" w:rsidRDefault="005050CE" w:rsidP="005050CE">
            <w:pPr>
              <w:spacing w:line="240" w:lineRule="auto"/>
              <w:rPr>
                <w:sz w:val="21"/>
                <w:szCs w:val="21"/>
              </w:rPr>
            </w:pPr>
            <w:r w:rsidRPr="005050CE">
              <w:rPr>
                <w:sz w:val="21"/>
                <w:szCs w:val="21"/>
              </w:rPr>
              <w:t>+/- 5% of manufacturers specificatio</w:t>
            </w:r>
            <w:r w:rsidR="00B96793">
              <w:rPr>
                <w:sz w:val="21"/>
                <w:szCs w:val="21"/>
              </w:rPr>
              <w:t>n</w:t>
            </w:r>
            <w:r w:rsidR="00B96793">
              <w:rPr>
                <w:rStyle w:val="FootnoteReference"/>
                <w:sz w:val="21"/>
                <w:szCs w:val="21"/>
              </w:rPr>
              <w:footnoteReference w:id="9"/>
            </w:r>
          </w:p>
        </w:tc>
      </w:tr>
      <w:tr w:rsidR="005050CE" w:rsidRPr="005050CE" w14:paraId="453F8A20"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68760767" w14:textId="77777777" w:rsidR="005050CE" w:rsidRPr="005050CE" w:rsidRDefault="005050CE" w:rsidP="005050CE">
            <w:pPr>
              <w:spacing w:line="240" w:lineRule="auto"/>
              <w:rPr>
                <w:sz w:val="21"/>
                <w:szCs w:val="21"/>
              </w:rPr>
            </w:pPr>
            <w:r w:rsidRPr="005050CE">
              <w:rPr>
                <w:sz w:val="21"/>
                <w:szCs w:val="21"/>
              </w:rPr>
              <w:t>Individual nozzle flow</w:t>
            </w:r>
          </w:p>
          <w:p w14:paraId="1306FB26" w14:textId="77777777" w:rsidR="005050CE" w:rsidRPr="005050CE" w:rsidRDefault="005050CE" w:rsidP="005050CE">
            <w:pPr>
              <w:spacing w:line="240" w:lineRule="auto"/>
              <w:rPr>
                <w:sz w:val="21"/>
                <w:szCs w:val="21"/>
              </w:rPr>
            </w:pPr>
            <w:r w:rsidRPr="005050CE">
              <w:rPr>
                <w:sz w:val="21"/>
                <w:szCs w:val="21"/>
              </w:rPr>
              <w:t>(Dribble type)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0DDD9688" w14:textId="77777777" w:rsidR="005050CE" w:rsidRPr="005050CE" w:rsidRDefault="005050CE" w:rsidP="005050CE">
            <w:pPr>
              <w:spacing w:line="240" w:lineRule="auto"/>
              <w:rPr>
                <w:sz w:val="21"/>
                <w:szCs w:val="21"/>
              </w:rPr>
            </w:pPr>
            <w:r w:rsidRPr="005050CE">
              <w:rPr>
                <w:sz w:val="21"/>
                <w:szCs w:val="21"/>
              </w:rPr>
              <w:t>Litres/minute at nominated boom pressure</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08E49BF4" w14:textId="52E2359B" w:rsidR="005050CE" w:rsidRPr="005050CE" w:rsidRDefault="005050CE" w:rsidP="005050CE">
            <w:pPr>
              <w:spacing w:line="240" w:lineRule="auto"/>
              <w:rPr>
                <w:sz w:val="21"/>
                <w:szCs w:val="21"/>
              </w:rPr>
            </w:pPr>
            <w:r w:rsidRPr="005050CE">
              <w:rPr>
                <w:sz w:val="21"/>
                <w:szCs w:val="21"/>
              </w:rPr>
              <w:t xml:space="preserve">Measuring Jug, 5 </w:t>
            </w:r>
            <w:proofErr w:type="gramStart"/>
            <w:r w:rsidRPr="005050CE">
              <w:rPr>
                <w:sz w:val="21"/>
                <w:szCs w:val="21"/>
              </w:rPr>
              <w:t>litre</w:t>
            </w:r>
            <w:proofErr w:type="gramEnd"/>
            <w:r w:rsidRPr="005050CE">
              <w:rPr>
                <w:sz w:val="21"/>
                <w:szCs w:val="21"/>
              </w:rPr>
              <w:t>, calibrated OR Scale</w:t>
            </w:r>
            <w:r w:rsidR="0092714B">
              <w:rPr>
                <w:sz w:val="21"/>
                <w:szCs w:val="21"/>
              </w:rPr>
              <w:t>s</w:t>
            </w:r>
            <w:r w:rsidR="0092714B">
              <w:rPr>
                <w:rStyle w:val="FootnoteReference"/>
                <w:sz w:val="21"/>
                <w:szCs w:val="21"/>
              </w:rPr>
              <w:footnoteReference w:id="10"/>
            </w:r>
            <w:r w:rsidRPr="005050CE">
              <w:rPr>
                <w:sz w:val="21"/>
                <w:szCs w:val="21"/>
              </w:rPr>
              <w:t xml:space="preserve"> accurate to +/- 10 gm</w:t>
            </w:r>
          </w:p>
        </w:tc>
      </w:tr>
      <w:tr w:rsidR="005050CE" w:rsidRPr="005050CE" w14:paraId="64C787E9"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31A2C717" w14:textId="77777777" w:rsidR="005050CE" w:rsidRPr="005050CE" w:rsidRDefault="005050CE" w:rsidP="005050CE">
            <w:pPr>
              <w:spacing w:line="240" w:lineRule="auto"/>
              <w:rPr>
                <w:sz w:val="21"/>
                <w:szCs w:val="21"/>
              </w:rPr>
            </w:pPr>
            <w:r w:rsidRPr="005050CE">
              <w:rPr>
                <w:sz w:val="21"/>
                <w:szCs w:val="21"/>
              </w:rPr>
              <w:t>Distribution of nozzle flow (dribble type)</w:t>
            </w:r>
          </w:p>
        </w:tc>
        <w:tc>
          <w:tcPr>
            <w:tcW w:w="0" w:type="auto"/>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4CBC928C" w14:textId="77777777" w:rsidR="005050CE" w:rsidRPr="005050CE" w:rsidRDefault="005050CE" w:rsidP="005050CE">
            <w:pPr>
              <w:spacing w:line="240" w:lineRule="auto"/>
              <w:rPr>
                <w:sz w:val="21"/>
                <w:szCs w:val="21"/>
              </w:rPr>
            </w:pPr>
            <w:r w:rsidRPr="005050CE">
              <w:rPr>
                <w:sz w:val="21"/>
                <w:szCs w:val="21"/>
              </w:rPr>
              <w:t>Coefficient of Variation</w:t>
            </w:r>
          </w:p>
        </w:tc>
        <w:tc>
          <w:tcPr>
            <w:tcW w:w="0" w:type="auto"/>
            <w:tcBorders>
              <w:top w:val="single" w:sz="4" w:space="0" w:color="4F6228"/>
              <w:left w:val="single" w:sz="4" w:space="0" w:color="4F6228"/>
              <w:bottom w:val="single" w:sz="4" w:space="0" w:color="4F6228"/>
              <w:right w:val="single" w:sz="4" w:space="0" w:color="4F6228"/>
            </w:tcBorders>
            <w:shd w:val="clear" w:color="auto" w:fill="D7E3BC"/>
            <w:tcMar>
              <w:top w:w="0" w:type="dxa"/>
              <w:left w:w="108" w:type="dxa"/>
              <w:bottom w:w="0" w:type="dxa"/>
              <w:right w:w="108" w:type="dxa"/>
            </w:tcMar>
            <w:vAlign w:val="center"/>
            <w:hideMark/>
          </w:tcPr>
          <w:p w14:paraId="794EF2DA" w14:textId="77777777" w:rsidR="005050CE" w:rsidRPr="005050CE" w:rsidRDefault="005050CE" w:rsidP="005050CE">
            <w:pPr>
              <w:spacing w:line="240" w:lineRule="auto"/>
              <w:rPr>
                <w:sz w:val="21"/>
                <w:szCs w:val="21"/>
              </w:rPr>
            </w:pPr>
            <w:r w:rsidRPr="005050CE">
              <w:rPr>
                <w:sz w:val="21"/>
                <w:szCs w:val="21"/>
              </w:rPr>
              <w:t>&lt; 15%</w:t>
            </w:r>
          </w:p>
        </w:tc>
      </w:tr>
    </w:tbl>
    <w:p w14:paraId="7A56CD37" w14:textId="77777777" w:rsidR="00941F05" w:rsidRDefault="00941F05" w:rsidP="005050CE">
      <w:pPr>
        <w:spacing w:line="240" w:lineRule="auto"/>
        <w:rPr>
          <w:b/>
          <w:bCs/>
        </w:rPr>
      </w:pPr>
    </w:p>
    <w:p w14:paraId="427ADBFC" w14:textId="0BBA04CC" w:rsidR="005050CE" w:rsidRPr="005050CE" w:rsidRDefault="005050CE" w:rsidP="005050CE">
      <w:pPr>
        <w:spacing w:line="240" w:lineRule="auto"/>
        <w:rPr>
          <w:b/>
          <w:bCs/>
        </w:rPr>
      </w:pPr>
      <w:r w:rsidRPr="005050CE">
        <w:rPr>
          <w:b/>
          <w:bCs/>
        </w:rPr>
        <w:t>7.Schedule of Tests</w:t>
      </w:r>
    </w:p>
    <w:p w14:paraId="7E5632C0" w14:textId="2242BA6F" w:rsidR="005050CE" w:rsidRPr="005050CE" w:rsidRDefault="005050CE" w:rsidP="005050CE">
      <w:pPr>
        <w:spacing w:line="240" w:lineRule="auto"/>
      </w:pPr>
      <w:r w:rsidRPr="005050CE">
        <w:t xml:space="preserve">The following tests </w:t>
      </w:r>
      <w:r w:rsidR="00891938">
        <w:t>shall</w:t>
      </w:r>
      <w:r w:rsidRPr="005050CE">
        <w:t xml:space="preserve"> be conducted:</w:t>
      </w:r>
    </w:p>
    <w:p w14:paraId="4BE5F8A5" w14:textId="2CD0D4F2" w:rsidR="005050CE" w:rsidRPr="005050CE" w:rsidRDefault="005050CE" w:rsidP="005050CE">
      <w:pPr>
        <w:spacing w:after="0" w:line="240" w:lineRule="auto"/>
        <w:ind w:firstLine="360"/>
      </w:pPr>
      <w:r w:rsidRPr="005050CE">
        <w:t>For conventional spray boom with standard nozzles</w:t>
      </w:r>
      <w:r w:rsidR="00891938">
        <w:t>:</w:t>
      </w:r>
    </w:p>
    <w:p w14:paraId="5080A663" w14:textId="77777777" w:rsidR="005050CE" w:rsidRPr="005050CE" w:rsidRDefault="005050CE" w:rsidP="005050CE">
      <w:pPr>
        <w:numPr>
          <w:ilvl w:val="0"/>
          <w:numId w:val="10"/>
        </w:numPr>
        <w:tabs>
          <w:tab w:val="num" w:pos="720"/>
        </w:tabs>
        <w:spacing w:after="0" w:line="240" w:lineRule="auto"/>
      </w:pPr>
      <w:r w:rsidRPr="005050CE">
        <w:t>Boom section test</w:t>
      </w:r>
    </w:p>
    <w:p w14:paraId="727BF2A3" w14:textId="77777777" w:rsidR="005050CE" w:rsidRPr="005050CE" w:rsidRDefault="005050CE" w:rsidP="005050CE">
      <w:pPr>
        <w:numPr>
          <w:ilvl w:val="0"/>
          <w:numId w:val="10"/>
        </w:numPr>
        <w:tabs>
          <w:tab w:val="num" w:pos="720"/>
        </w:tabs>
        <w:spacing w:line="240" w:lineRule="auto"/>
      </w:pPr>
      <w:r w:rsidRPr="005050CE">
        <w:t>Combined nozzle flow test</w:t>
      </w:r>
    </w:p>
    <w:p w14:paraId="18184CC8" w14:textId="00FA0F4B" w:rsidR="005050CE" w:rsidRPr="005050CE" w:rsidRDefault="005050CE" w:rsidP="005050CE">
      <w:pPr>
        <w:spacing w:after="0" w:line="240" w:lineRule="auto"/>
        <w:ind w:firstLine="360"/>
      </w:pPr>
      <w:r w:rsidRPr="005050CE">
        <w:t>For conventional spray boom with dribble bar type nozzles</w:t>
      </w:r>
      <w:r w:rsidR="0045749A">
        <w:t>:</w:t>
      </w:r>
    </w:p>
    <w:p w14:paraId="774647FB" w14:textId="77777777" w:rsidR="005050CE" w:rsidRPr="005050CE" w:rsidRDefault="005050CE" w:rsidP="005050CE">
      <w:pPr>
        <w:numPr>
          <w:ilvl w:val="0"/>
          <w:numId w:val="11"/>
        </w:numPr>
        <w:spacing w:line="240" w:lineRule="auto"/>
      </w:pPr>
      <w:r w:rsidRPr="005050CE">
        <w:t>Individual nozzle flow test</w:t>
      </w:r>
    </w:p>
    <w:p w14:paraId="5E445248" w14:textId="607F6616" w:rsidR="005050CE" w:rsidRPr="005050CE" w:rsidRDefault="005050CE" w:rsidP="005050CE">
      <w:pPr>
        <w:spacing w:line="240" w:lineRule="auto"/>
      </w:pPr>
      <w:r w:rsidRPr="005050CE">
        <w:t>All tests to be carried out with water with stationary sprayer</w:t>
      </w:r>
      <w:r w:rsidR="00E07583">
        <w:t>.</w:t>
      </w:r>
    </w:p>
    <w:p w14:paraId="7E1575C9" w14:textId="77777777" w:rsidR="005050CE" w:rsidRPr="005050CE" w:rsidRDefault="005050CE" w:rsidP="005050CE">
      <w:pPr>
        <w:spacing w:line="240" w:lineRule="auto"/>
        <w:rPr>
          <w:b/>
          <w:bCs/>
        </w:rPr>
      </w:pPr>
      <w:r w:rsidRPr="005050CE">
        <w:rPr>
          <w:b/>
          <w:bCs/>
        </w:rPr>
        <w:t>8.Field Report</w:t>
      </w:r>
    </w:p>
    <w:p w14:paraId="185493DD" w14:textId="6A8E693A" w:rsidR="005050CE" w:rsidRPr="005050CE" w:rsidRDefault="005050CE" w:rsidP="005050CE">
      <w:pPr>
        <w:spacing w:line="240" w:lineRule="auto"/>
        <w:rPr>
          <w:lang w:val="en-US"/>
        </w:rPr>
      </w:pPr>
      <w:r w:rsidRPr="005050CE">
        <w:rPr>
          <w:lang w:val="en-US"/>
        </w:rPr>
        <w:t xml:space="preserve">The following records </w:t>
      </w:r>
      <w:r w:rsidR="00E07583">
        <w:rPr>
          <w:lang w:val="en-US"/>
        </w:rPr>
        <w:t>shall</w:t>
      </w:r>
      <w:r w:rsidRPr="005050CE">
        <w:rPr>
          <w:lang w:val="en-US"/>
        </w:rPr>
        <w:t xml:space="preserve"> be kept for each test:</w:t>
      </w:r>
    </w:p>
    <w:tbl>
      <w:tblPr>
        <w:tblW w:w="0" w:type="auto"/>
        <w:tblCellMar>
          <w:top w:w="15" w:type="dxa"/>
          <w:left w:w="15" w:type="dxa"/>
          <w:bottom w:w="15" w:type="dxa"/>
          <w:right w:w="15" w:type="dxa"/>
        </w:tblCellMar>
        <w:tblLook w:val="04A0" w:firstRow="1" w:lastRow="0" w:firstColumn="1" w:lastColumn="0" w:noHBand="0" w:noVBand="1"/>
      </w:tblPr>
      <w:tblGrid>
        <w:gridCol w:w="1543"/>
        <w:gridCol w:w="805"/>
        <w:gridCol w:w="709"/>
        <w:gridCol w:w="709"/>
        <w:gridCol w:w="2521"/>
        <w:gridCol w:w="1371"/>
        <w:gridCol w:w="1358"/>
      </w:tblGrid>
      <w:tr w:rsidR="005050CE" w:rsidRPr="005050CE" w14:paraId="64590730"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7FB931DD" w14:textId="77777777" w:rsidR="005050CE" w:rsidRPr="005050CE" w:rsidRDefault="005050CE" w:rsidP="005050CE">
            <w:pPr>
              <w:spacing w:line="240" w:lineRule="auto"/>
            </w:pPr>
            <w:r w:rsidRPr="005050CE">
              <w:rPr>
                <w:b/>
                <w:bCs/>
              </w:rPr>
              <w:t>Identification</w:t>
            </w: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9BBB59"/>
            <w:tcMar>
              <w:top w:w="0" w:type="dxa"/>
              <w:left w:w="108" w:type="dxa"/>
              <w:bottom w:w="0" w:type="dxa"/>
              <w:right w:w="108" w:type="dxa"/>
            </w:tcMar>
            <w:vAlign w:val="center"/>
            <w:hideMark/>
          </w:tcPr>
          <w:p w14:paraId="7EBAEE68" w14:textId="77777777" w:rsidR="005050CE" w:rsidRPr="005050CE" w:rsidRDefault="005050CE" w:rsidP="005050CE">
            <w:pPr>
              <w:spacing w:line="240" w:lineRule="auto"/>
            </w:pPr>
            <w:r w:rsidRPr="005050CE">
              <w:rPr>
                <w:b/>
                <w:bCs/>
              </w:rPr>
              <w:t>Date:</w:t>
            </w:r>
          </w:p>
        </w:tc>
      </w:tr>
      <w:tr w:rsidR="005050CE" w:rsidRPr="005050CE" w14:paraId="292DB470"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46759C92"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2904689A" w14:textId="77777777" w:rsidR="005050CE" w:rsidRPr="005050CE" w:rsidRDefault="005050CE" w:rsidP="005050CE">
            <w:pPr>
              <w:spacing w:line="240" w:lineRule="auto"/>
            </w:pPr>
            <w:r w:rsidRPr="005050CE">
              <w:t>Operator:</w:t>
            </w:r>
          </w:p>
        </w:tc>
      </w:tr>
      <w:tr w:rsidR="005050CE" w:rsidRPr="005050CE" w14:paraId="5F642CE0"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596FF405"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36F13AA9" w14:textId="02D93C6B" w:rsidR="005050CE" w:rsidRPr="005050CE" w:rsidRDefault="00814B18" w:rsidP="005050CE">
            <w:pPr>
              <w:spacing w:line="240" w:lineRule="auto"/>
            </w:pPr>
            <w:r>
              <w:t xml:space="preserve">Unique identifier of the </w:t>
            </w:r>
            <w:r w:rsidR="00A0386C">
              <w:t>s</w:t>
            </w:r>
            <w:r>
              <w:t xml:space="preserve">preading </w:t>
            </w:r>
            <w:r w:rsidR="00A0386C">
              <w:t>u</w:t>
            </w:r>
            <w:r w:rsidR="004D459D">
              <w:t>nit</w:t>
            </w:r>
            <w:r w:rsidR="005050CE" w:rsidRPr="005050CE">
              <w:t>:</w:t>
            </w:r>
          </w:p>
        </w:tc>
      </w:tr>
      <w:tr w:rsidR="005050CE" w:rsidRPr="005050CE" w14:paraId="4AF49618"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211A7228"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0E9A27C6" w14:textId="77777777" w:rsidR="005050CE" w:rsidRPr="005050CE" w:rsidRDefault="005050CE" w:rsidP="005050CE">
            <w:pPr>
              <w:spacing w:line="240" w:lineRule="auto"/>
            </w:pPr>
            <w:r w:rsidRPr="005050CE">
              <w:t>Technician:</w:t>
            </w:r>
          </w:p>
        </w:tc>
      </w:tr>
      <w:tr w:rsidR="005050CE" w:rsidRPr="005050CE" w14:paraId="4F4E0F43"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242EF548"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38848779" w14:textId="77777777" w:rsidR="005050CE" w:rsidRPr="005050CE" w:rsidRDefault="005050CE" w:rsidP="005050CE">
            <w:pPr>
              <w:spacing w:line="240" w:lineRule="auto"/>
            </w:pPr>
            <w:r w:rsidRPr="005050CE">
              <w:t>Location:</w:t>
            </w:r>
          </w:p>
        </w:tc>
      </w:tr>
      <w:tr w:rsidR="005050CE" w:rsidRPr="005050CE" w14:paraId="76D6247F"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00AC632C" w14:textId="77777777" w:rsidR="005050CE" w:rsidRPr="005050CE" w:rsidRDefault="005050CE" w:rsidP="005050CE">
            <w:pPr>
              <w:spacing w:line="240" w:lineRule="auto"/>
            </w:pPr>
            <w:r w:rsidRPr="005050CE">
              <w:t>Sprayer detail</w:t>
            </w: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70653CB0" w14:textId="77777777" w:rsidR="005050CE" w:rsidRPr="005050CE" w:rsidRDefault="005050CE" w:rsidP="005050CE">
            <w:pPr>
              <w:spacing w:line="240" w:lineRule="auto"/>
            </w:pPr>
            <w:r w:rsidRPr="005050CE">
              <w:t>Spray Controller:</w:t>
            </w:r>
          </w:p>
        </w:tc>
      </w:tr>
      <w:tr w:rsidR="005050CE" w:rsidRPr="005050CE" w14:paraId="00C1408C"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10430B8F"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771F2451" w14:textId="77777777" w:rsidR="005050CE" w:rsidRPr="005050CE" w:rsidRDefault="005050CE" w:rsidP="005050CE">
            <w:pPr>
              <w:spacing w:line="240" w:lineRule="auto"/>
            </w:pPr>
            <w:r w:rsidRPr="005050CE">
              <w:t>Number of nozzles and spacing:</w:t>
            </w:r>
          </w:p>
        </w:tc>
      </w:tr>
      <w:tr w:rsidR="005050CE" w:rsidRPr="005050CE" w14:paraId="18224129"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10D5FDEC"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7C7B1003" w14:textId="77777777" w:rsidR="005050CE" w:rsidRPr="005050CE" w:rsidRDefault="005050CE" w:rsidP="005050CE">
            <w:pPr>
              <w:spacing w:line="240" w:lineRule="auto"/>
            </w:pPr>
            <w:r w:rsidRPr="005050CE">
              <w:t>Number of boom sections:</w:t>
            </w:r>
          </w:p>
        </w:tc>
      </w:tr>
      <w:tr w:rsidR="005050CE" w:rsidRPr="005050CE" w14:paraId="15A6D520"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52A79B7"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798C47AE" w14:textId="77777777" w:rsidR="005050CE" w:rsidRPr="005050CE" w:rsidRDefault="005050CE" w:rsidP="005050CE">
            <w:pPr>
              <w:spacing w:line="240" w:lineRule="auto"/>
            </w:pPr>
            <w:r w:rsidRPr="005050CE">
              <w:t>Application Volume rate (L/ha)</w:t>
            </w:r>
          </w:p>
        </w:tc>
      </w:tr>
      <w:tr w:rsidR="005050CE" w:rsidRPr="005050CE" w14:paraId="3EDFF46B"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3C4AEA4B"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210B0588" w14:textId="77777777" w:rsidR="005050CE" w:rsidRPr="005050CE" w:rsidRDefault="005050CE" w:rsidP="005050CE">
            <w:pPr>
              <w:spacing w:line="240" w:lineRule="auto"/>
            </w:pPr>
            <w:r w:rsidRPr="005050CE">
              <w:t>Forward Speed (km/hr)</w:t>
            </w:r>
          </w:p>
        </w:tc>
      </w:tr>
      <w:tr w:rsidR="005050CE" w:rsidRPr="005050CE" w14:paraId="0D40105B"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30B087AF"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7F52241B" w14:textId="77777777" w:rsidR="005050CE" w:rsidRPr="005050CE" w:rsidRDefault="005050CE" w:rsidP="005050CE">
            <w:pPr>
              <w:spacing w:line="240" w:lineRule="auto"/>
            </w:pPr>
            <w:r w:rsidRPr="005050CE">
              <w:t>Operating pressure (bar)</w:t>
            </w:r>
          </w:p>
        </w:tc>
      </w:tr>
      <w:tr w:rsidR="005050CE" w:rsidRPr="005050CE" w14:paraId="2062485E"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6DC01FF0" w14:textId="77777777" w:rsidR="005050CE" w:rsidRPr="005050CE" w:rsidRDefault="005050CE" w:rsidP="005050CE">
            <w:pPr>
              <w:spacing w:line="240" w:lineRule="auto"/>
            </w:pPr>
            <w:r w:rsidRPr="005050CE">
              <w:t>Test Nozzles </w:t>
            </w:r>
          </w:p>
        </w:tc>
        <w:tc>
          <w:tcPr>
            <w:tcW w:w="0" w:type="auto"/>
            <w:gridSpan w:val="2"/>
            <w:tcBorders>
              <w:top w:val="single" w:sz="4" w:space="0" w:color="4F6228"/>
              <w:left w:val="single" w:sz="4" w:space="0" w:color="4F6228"/>
              <w:bottom w:val="single" w:sz="4" w:space="0" w:color="4F6228"/>
              <w:right w:val="single" w:sz="4" w:space="0" w:color="000000"/>
            </w:tcBorders>
            <w:shd w:val="clear" w:color="auto" w:fill="D7E3BC"/>
            <w:tcMar>
              <w:top w:w="0" w:type="dxa"/>
              <w:left w:w="108" w:type="dxa"/>
              <w:bottom w:w="0" w:type="dxa"/>
              <w:right w:w="108" w:type="dxa"/>
            </w:tcMar>
            <w:vAlign w:val="center"/>
            <w:hideMark/>
          </w:tcPr>
          <w:p w14:paraId="7E9632D2" w14:textId="77777777" w:rsidR="005050CE" w:rsidRPr="005050CE" w:rsidRDefault="005050CE" w:rsidP="005050CE">
            <w:pPr>
              <w:spacing w:line="240" w:lineRule="auto"/>
            </w:pPr>
            <w:r w:rsidRPr="005050CE">
              <w:t>Nozzle</w:t>
            </w:r>
          </w:p>
        </w:tc>
        <w:tc>
          <w:tcPr>
            <w:tcW w:w="0" w:type="auto"/>
            <w:gridSpan w:val="2"/>
            <w:tcBorders>
              <w:top w:val="single" w:sz="4" w:space="0" w:color="4F6228"/>
              <w:left w:val="single" w:sz="4" w:space="0" w:color="000000"/>
              <w:bottom w:val="single" w:sz="4" w:space="0" w:color="4F6228"/>
              <w:right w:val="single" w:sz="4" w:space="0" w:color="000000"/>
            </w:tcBorders>
            <w:shd w:val="clear" w:color="auto" w:fill="D7E3BC"/>
            <w:tcMar>
              <w:top w:w="0" w:type="dxa"/>
              <w:left w:w="108" w:type="dxa"/>
              <w:bottom w:w="0" w:type="dxa"/>
              <w:right w:w="108" w:type="dxa"/>
            </w:tcMar>
            <w:vAlign w:val="center"/>
            <w:hideMark/>
          </w:tcPr>
          <w:p w14:paraId="63288D36" w14:textId="77777777" w:rsidR="005050CE" w:rsidRPr="005050CE" w:rsidRDefault="005050CE" w:rsidP="005050CE">
            <w:pPr>
              <w:spacing w:line="240" w:lineRule="auto"/>
            </w:pPr>
            <w:r w:rsidRPr="005050CE">
              <w:t xml:space="preserve">Expected flow at 2 </w:t>
            </w:r>
            <w:proofErr w:type="gramStart"/>
            <w:r w:rsidRPr="005050CE">
              <w:t>bar</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D7E3BC"/>
            <w:tcMar>
              <w:top w:w="0" w:type="dxa"/>
              <w:left w:w="108" w:type="dxa"/>
              <w:bottom w:w="0" w:type="dxa"/>
              <w:right w:w="108" w:type="dxa"/>
            </w:tcMar>
            <w:vAlign w:val="center"/>
            <w:hideMark/>
          </w:tcPr>
          <w:p w14:paraId="25BE3240"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4F6228"/>
            </w:tcBorders>
            <w:shd w:val="clear" w:color="auto" w:fill="D7E3BC"/>
            <w:tcMar>
              <w:top w:w="0" w:type="dxa"/>
              <w:left w:w="108" w:type="dxa"/>
              <w:bottom w:w="0" w:type="dxa"/>
              <w:right w:w="108" w:type="dxa"/>
            </w:tcMar>
            <w:vAlign w:val="center"/>
            <w:hideMark/>
          </w:tcPr>
          <w:p w14:paraId="0C9A8EBB" w14:textId="77777777" w:rsidR="005050CE" w:rsidRPr="005050CE" w:rsidRDefault="005050CE" w:rsidP="005050CE">
            <w:pPr>
              <w:spacing w:line="240" w:lineRule="auto"/>
            </w:pPr>
          </w:p>
        </w:tc>
      </w:tr>
      <w:tr w:rsidR="005050CE" w:rsidRPr="005050CE" w14:paraId="75329AEC"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57F0CF8" w14:textId="77777777" w:rsidR="005050CE" w:rsidRPr="005050CE" w:rsidRDefault="005050CE" w:rsidP="005050CE">
            <w:pPr>
              <w:spacing w:line="240" w:lineRule="auto"/>
            </w:pPr>
          </w:p>
        </w:tc>
        <w:tc>
          <w:tcPr>
            <w:tcW w:w="0" w:type="auto"/>
            <w:gridSpan w:val="2"/>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26218998" w14:textId="77777777" w:rsidR="005050CE" w:rsidRPr="005050CE" w:rsidRDefault="005050CE" w:rsidP="005050CE">
            <w:pPr>
              <w:spacing w:line="240" w:lineRule="auto"/>
            </w:pPr>
          </w:p>
        </w:tc>
        <w:tc>
          <w:tcPr>
            <w:tcW w:w="0" w:type="auto"/>
            <w:gridSpan w:val="2"/>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6FA85DAA"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291E2D9B"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4F6228"/>
            </w:tcBorders>
            <w:shd w:val="clear" w:color="auto" w:fill="EBF1DD"/>
            <w:tcMar>
              <w:top w:w="0" w:type="dxa"/>
              <w:left w:w="108" w:type="dxa"/>
              <w:bottom w:w="0" w:type="dxa"/>
              <w:right w:w="108" w:type="dxa"/>
            </w:tcMar>
            <w:vAlign w:val="center"/>
            <w:hideMark/>
          </w:tcPr>
          <w:p w14:paraId="05C86E0D" w14:textId="77777777" w:rsidR="005050CE" w:rsidRPr="005050CE" w:rsidRDefault="005050CE" w:rsidP="005050CE">
            <w:pPr>
              <w:spacing w:line="240" w:lineRule="auto"/>
            </w:pPr>
          </w:p>
        </w:tc>
      </w:tr>
      <w:tr w:rsidR="005050CE" w:rsidRPr="005050CE" w14:paraId="616CCDF8"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316E4466" w14:textId="77777777" w:rsidR="005050CE" w:rsidRPr="005050CE" w:rsidRDefault="005050CE" w:rsidP="005050CE">
            <w:pPr>
              <w:spacing w:line="240" w:lineRule="auto"/>
            </w:pPr>
          </w:p>
        </w:tc>
        <w:tc>
          <w:tcPr>
            <w:tcW w:w="0" w:type="auto"/>
            <w:gridSpan w:val="2"/>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6E42CFD9" w14:textId="77777777" w:rsidR="005050CE" w:rsidRPr="005050CE" w:rsidRDefault="005050CE" w:rsidP="005050CE">
            <w:pPr>
              <w:spacing w:line="240" w:lineRule="auto"/>
            </w:pPr>
          </w:p>
        </w:tc>
        <w:tc>
          <w:tcPr>
            <w:tcW w:w="0" w:type="auto"/>
            <w:gridSpan w:val="2"/>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142CAD06"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10F675F5"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4F6228"/>
            </w:tcBorders>
            <w:shd w:val="clear" w:color="auto" w:fill="EBF1DD"/>
            <w:tcMar>
              <w:top w:w="0" w:type="dxa"/>
              <w:left w:w="108" w:type="dxa"/>
              <w:bottom w:w="0" w:type="dxa"/>
              <w:right w:w="108" w:type="dxa"/>
            </w:tcMar>
            <w:vAlign w:val="center"/>
            <w:hideMark/>
          </w:tcPr>
          <w:p w14:paraId="5A17E303" w14:textId="77777777" w:rsidR="005050CE" w:rsidRPr="005050CE" w:rsidRDefault="005050CE" w:rsidP="005050CE">
            <w:pPr>
              <w:spacing w:line="240" w:lineRule="auto"/>
            </w:pPr>
          </w:p>
        </w:tc>
      </w:tr>
      <w:tr w:rsidR="005050CE" w:rsidRPr="005050CE" w14:paraId="6E261F2F"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262681CE" w14:textId="77777777" w:rsidR="005050CE" w:rsidRPr="005050CE" w:rsidRDefault="005050CE" w:rsidP="005050CE">
            <w:pPr>
              <w:spacing w:line="240" w:lineRule="auto"/>
            </w:pPr>
          </w:p>
        </w:tc>
        <w:tc>
          <w:tcPr>
            <w:tcW w:w="0" w:type="auto"/>
            <w:gridSpan w:val="2"/>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2E4E8617" w14:textId="77777777" w:rsidR="005050CE" w:rsidRPr="005050CE" w:rsidRDefault="005050CE" w:rsidP="005050CE">
            <w:pPr>
              <w:spacing w:line="240" w:lineRule="auto"/>
            </w:pPr>
          </w:p>
        </w:tc>
        <w:tc>
          <w:tcPr>
            <w:tcW w:w="0" w:type="auto"/>
            <w:gridSpan w:val="2"/>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157AFA6C"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29E5C173"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4F6228"/>
            </w:tcBorders>
            <w:shd w:val="clear" w:color="auto" w:fill="EBF1DD"/>
            <w:tcMar>
              <w:top w:w="0" w:type="dxa"/>
              <w:left w:w="108" w:type="dxa"/>
              <w:bottom w:w="0" w:type="dxa"/>
              <w:right w:w="108" w:type="dxa"/>
            </w:tcMar>
            <w:vAlign w:val="center"/>
            <w:hideMark/>
          </w:tcPr>
          <w:p w14:paraId="6E3B25CD" w14:textId="77777777" w:rsidR="005050CE" w:rsidRPr="005050CE" w:rsidRDefault="005050CE" w:rsidP="005050CE">
            <w:pPr>
              <w:spacing w:line="240" w:lineRule="auto"/>
            </w:pPr>
          </w:p>
        </w:tc>
      </w:tr>
      <w:tr w:rsidR="005050CE" w:rsidRPr="005050CE" w14:paraId="639FA15A"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478735B3" w14:textId="77777777" w:rsidR="005050CE" w:rsidRPr="005050CE" w:rsidRDefault="005050CE" w:rsidP="005050CE">
            <w:pPr>
              <w:spacing w:line="240" w:lineRule="auto"/>
            </w:pPr>
            <w:r w:rsidRPr="005050CE">
              <w:t>Test Conditions</w:t>
            </w: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2923F5F6" w14:textId="77777777" w:rsidR="005050CE" w:rsidRPr="005050CE" w:rsidRDefault="005050CE" w:rsidP="005050CE">
            <w:pPr>
              <w:spacing w:line="240" w:lineRule="auto"/>
            </w:pPr>
            <w:r w:rsidRPr="005050CE">
              <w:t>Sprayer condition:</w:t>
            </w:r>
          </w:p>
        </w:tc>
      </w:tr>
      <w:tr w:rsidR="005050CE" w:rsidRPr="005050CE" w14:paraId="71F8AECA"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DFDE25E"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0FE226D7" w14:textId="77777777" w:rsidR="005050CE" w:rsidRPr="005050CE" w:rsidRDefault="005050CE" w:rsidP="005050CE">
            <w:pPr>
              <w:spacing w:line="240" w:lineRule="auto"/>
            </w:pPr>
            <w:r w:rsidRPr="005050CE">
              <w:t>Tank size:</w:t>
            </w:r>
          </w:p>
        </w:tc>
      </w:tr>
      <w:tr w:rsidR="005050CE" w:rsidRPr="005050CE" w14:paraId="564552DC"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6C566D6C"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4AB0B3C2" w14:textId="77777777" w:rsidR="005050CE" w:rsidRPr="005050CE" w:rsidRDefault="005050CE" w:rsidP="005050CE">
            <w:pPr>
              <w:spacing w:line="240" w:lineRule="auto"/>
            </w:pPr>
            <w:r w:rsidRPr="005050CE">
              <w:t>Flow meter calibration value:</w:t>
            </w:r>
          </w:p>
          <w:p w14:paraId="77ECE620" w14:textId="77777777" w:rsidR="005050CE" w:rsidRPr="005050CE" w:rsidRDefault="005050CE" w:rsidP="005050CE">
            <w:pPr>
              <w:spacing w:line="240" w:lineRule="auto"/>
            </w:pPr>
            <w:r w:rsidRPr="005050CE">
              <w:t>(pulse per litre)</w:t>
            </w:r>
          </w:p>
        </w:tc>
      </w:tr>
      <w:tr w:rsidR="005050CE" w:rsidRPr="005050CE" w14:paraId="18C153DE"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3C8897DD" w14:textId="77777777" w:rsidR="005050CE" w:rsidRPr="005050CE" w:rsidRDefault="005050CE" w:rsidP="005050CE">
            <w:pPr>
              <w:spacing w:line="240" w:lineRule="auto"/>
            </w:pPr>
          </w:p>
        </w:tc>
        <w:tc>
          <w:tcPr>
            <w:tcW w:w="0" w:type="auto"/>
            <w:gridSpan w:val="6"/>
            <w:tcBorders>
              <w:top w:val="single" w:sz="4" w:space="0" w:color="4F6228"/>
              <w:left w:val="single" w:sz="4" w:space="0" w:color="4F6228"/>
              <w:bottom w:val="single" w:sz="4" w:space="0" w:color="4F6228"/>
              <w:right w:val="single" w:sz="4" w:space="0" w:color="4F6228"/>
            </w:tcBorders>
            <w:shd w:val="clear" w:color="auto" w:fill="EBF1DD"/>
            <w:tcMar>
              <w:top w:w="0" w:type="dxa"/>
              <w:left w:w="108" w:type="dxa"/>
              <w:bottom w:w="0" w:type="dxa"/>
              <w:right w:w="108" w:type="dxa"/>
            </w:tcMar>
            <w:vAlign w:val="center"/>
            <w:hideMark/>
          </w:tcPr>
          <w:p w14:paraId="5F36E03C" w14:textId="66A2587B" w:rsidR="005050CE" w:rsidRPr="005050CE" w:rsidRDefault="005050CE" w:rsidP="005050CE">
            <w:pPr>
              <w:spacing w:line="240" w:lineRule="auto"/>
            </w:pPr>
            <w:r w:rsidRPr="005050CE">
              <w:t xml:space="preserve">Wheel </w:t>
            </w:r>
            <w:r w:rsidR="008778C8">
              <w:t xml:space="preserve">or air </w:t>
            </w:r>
            <w:r w:rsidRPr="005050CE">
              <w:t>speed sensor calibration value:</w:t>
            </w:r>
          </w:p>
          <w:p w14:paraId="57454DAA" w14:textId="77777777" w:rsidR="005050CE" w:rsidRPr="005050CE" w:rsidRDefault="005050CE" w:rsidP="005050CE">
            <w:pPr>
              <w:spacing w:line="240" w:lineRule="auto"/>
            </w:pPr>
            <w:r w:rsidRPr="005050CE">
              <w:t>(pulse per metre, if fitted) </w:t>
            </w:r>
          </w:p>
        </w:tc>
      </w:tr>
      <w:tr w:rsidR="005050CE" w:rsidRPr="005050CE" w14:paraId="46DF327F"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4BBB2EB5" w14:textId="77777777" w:rsidR="005050CE" w:rsidRPr="005050CE" w:rsidRDefault="005050CE" w:rsidP="005050CE">
            <w:pPr>
              <w:spacing w:line="240" w:lineRule="auto"/>
            </w:pPr>
            <w:r w:rsidRPr="005050CE">
              <w:t>Certification</w:t>
            </w:r>
          </w:p>
        </w:tc>
        <w:tc>
          <w:tcPr>
            <w:tcW w:w="0" w:type="auto"/>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66FBC565" w14:textId="77777777" w:rsidR="005050CE" w:rsidRPr="005050CE" w:rsidRDefault="005050CE" w:rsidP="005050CE">
            <w:pPr>
              <w:spacing w:line="240" w:lineRule="auto"/>
            </w:pPr>
            <w:r w:rsidRPr="005050CE">
              <w:t>Nozzle</w:t>
            </w:r>
          </w:p>
        </w:tc>
        <w:tc>
          <w:tcPr>
            <w:tcW w:w="0" w:type="auto"/>
            <w:gridSpan w:val="2"/>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63D0A641" w14:textId="77777777" w:rsidR="005050CE" w:rsidRPr="005050CE" w:rsidRDefault="005050CE" w:rsidP="005050CE">
            <w:pPr>
              <w:spacing w:line="240" w:lineRule="auto"/>
            </w:pPr>
            <w:r w:rsidRPr="005050CE">
              <w:t>Bout Width (m)</w:t>
            </w:r>
          </w:p>
        </w:tc>
        <w:tc>
          <w:tcPr>
            <w:tcW w:w="0" w:type="auto"/>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56870166" w14:textId="77777777" w:rsidR="005050CE" w:rsidRPr="005050CE" w:rsidRDefault="005050CE" w:rsidP="005050CE">
            <w:pPr>
              <w:spacing w:line="240" w:lineRule="auto"/>
            </w:pPr>
            <w:r w:rsidRPr="005050CE">
              <w:t>Application Volume (litres/ha)</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144D9494" w14:textId="77777777" w:rsidR="005050CE" w:rsidRPr="005050CE" w:rsidRDefault="005050CE" w:rsidP="005050CE">
            <w:pPr>
              <w:spacing w:line="240" w:lineRule="auto"/>
            </w:pPr>
            <w:r w:rsidRPr="005050CE">
              <w:t>Speed (km/hr)</w:t>
            </w: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7F49A22A" w14:textId="77777777" w:rsidR="005050CE" w:rsidRPr="005050CE" w:rsidRDefault="005050CE" w:rsidP="005050CE">
            <w:pPr>
              <w:spacing w:line="240" w:lineRule="auto"/>
            </w:pPr>
            <w:r w:rsidRPr="005050CE">
              <w:t>Pressure (bar)</w:t>
            </w:r>
          </w:p>
        </w:tc>
      </w:tr>
      <w:tr w:rsidR="005050CE" w:rsidRPr="005050CE" w14:paraId="2AD64311"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BA11B1C" w14:textId="77777777" w:rsidR="005050CE" w:rsidRPr="005050CE" w:rsidRDefault="005050CE" w:rsidP="005050CE">
            <w:pPr>
              <w:spacing w:line="240" w:lineRule="auto"/>
            </w:pPr>
          </w:p>
        </w:tc>
        <w:tc>
          <w:tcPr>
            <w:tcW w:w="0" w:type="auto"/>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6E99ED5E" w14:textId="77777777" w:rsidR="005050CE" w:rsidRPr="005050CE" w:rsidRDefault="005050CE" w:rsidP="005050CE">
            <w:pPr>
              <w:spacing w:line="240" w:lineRule="auto"/>
            </w:pPr>
          </w:p>
        </w:tc>
        <w:tc>
          <w:tcPr>
            <w:tcW w:w="0" w:type="auto"/>
            <w:gridSpan w:val="2"/>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22341414" w14:textId="77777777" w:rsidR="005050CE" w:rsidRPr="005050CE" w:rsidRDefault="005050CE" w:rsidP="005050CE">
            <w:pPr>
              <w:spacing w:line="240" w:lineRule="auto"/>
            </w:pPr>
          </w:p>
        </w:tc>
        <w:tc>
          <w:tcPr>
            <w:tcW w:w="0" w:type="auto"/>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42F31084"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01CD7C36"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4322D871" w14:textId="77777777" w:rsidR="005050CE" w:rsidRPr="005050CE" w:rsidRDefault="005050CE" w:rsidP="005050CE">
            <w:pPr>
              <w:spacing w:line="240" w:lineRule="auto"/>
            </w:pPr>
          </w:p>
        </w:tc>
      </w:tr>
      <w:tr w:rsidR="005050CE" w:rsidRPr="005050CE" w14:paraId="12D6999D"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8D7AFC0" w14:textId="77777777" w:rsidR="005050CE" w:rsidRPr="005050CE" w:rsidRDefault="005050CE" w:rsidP="005050CE">
            <w:pPr>
              <w:spacing w:line="240" w:lineRule="auto"/>
            </w:pPr>
          </w:p>
        </w:tc>
        <w:tc>
          <w:tcPr>
            <w:tcW w:w="0" w:type="auto"/>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057E4B05" w14:textId="77777777" w:rsidR="005050CE" w:rsidRPr="005050CE" w:rsidRDefault="005050CE" w:rsidP="005050CE">
            <w:pPr>
              <w:spacing w:line="240" w:lineRule="auto"/>
            </w:pPr>
          </w:p>
        </w:tc>
        <w:tc>
          <w:tcPr>
            <w:tcW w:w="0" w:type="auto"/>
            <w:gridSpan w:val="2"/>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5910B271" w14:textId="77777777" w:rsidR="005050CE" w:rsidRPr="005050CE" w:rsidRDefault="005050CE" w:rsidP="005050CE">
            <w:pPr>
              <w:spacing w:line="240" w:lineRule="auto"/>
            </w:pPr>
          </w:p>
        </w:tc>
        <w:tc>
          <w:tcPr>
            <w:tcW w:w="0" w:type="auto"/>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709A78A8"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7113BC8A"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1D34EF8C" w14:textId="77777777" w:rsidR="005050CE" w:rsidRPr="005050CE" w:rsidRDefault="005050CE" w:rsidP="005050CE">
            <w:pPr>
              <w:spacing w:line="240" w:lineRule="auto"/>
            </w:pPr>
          </w:p>
        </w:tc>
      </w:tr>
      <w:tr w:rsidR="005050CE" w:rsidRPr="005050CE" w14:paraId="08492E8D"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4DCFE803" w14:textId="77777777" w:rsidR="005050CE" w:rsidRPr="005050CE" w:rsidRDefault="005050CE" w:rsidP="005050CE">
            <w:pPr>
              <w:spacing w:line="240" w:lineRule="auto"/>
            </w:pPr>
          </w:p>
        </w:tc>
        <w:tc>
          <w:tcPr>
            <w:tcW w:w="0" w:type="auto"/>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3C049BF9" w14:textId="77777777" w:rsidR="005050CE" w:rsidRPr="005050CE" w:rsidRDefault="005050CE" w:rsidP="005050CE">
            <w:pPr>
              <w:spacing w:line="240" w:lineRule="auto"/>
            </w:pPr>
          </w:p>
        </w:tc>
        <w:tc>
          <w:tcPr>
            <w:tcW w:w="0" w:type="auto"/>
            <w:gridSpan w:val="2"/>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17E073FB" w14:textId="77777777" w:rsidR="005050CE" w:rsidRPr="005050CE" w:rsidRDefault="005050CE" w:rsidP="005050CE">
            <w:pPr>
              <w:spacing w:line="240" w:lineRule="auto"/>
            </w:pPr>
          </w:p>
        </w:tc>
        <w:tc>
          <w:tcPr>
            <w:tcW w:w="0" w:type="auto"/>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18CE1377"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34CD874F"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4BCCBBB0" w14:textId="77777777" w:rsidR="005050CE" w:rsidRPr="005050CE" w:rsidRDefault="005050CE" w:rsidP="005050CE">
            <w:pPr>
              <w:spacing w:line="240" w:lineRule="auto"/>
            </w:pPr>
          </w:p>
        </w:tc>
      </w:tr>
      <w:tr w:rsidR="005050CE" w:rsidRPr="005050CE" w14:paraId="7F01806A"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A8B8201" w14:textId="77777777" w:rsidR="005050CE" w:rsidRPr="005050CE" w:rsidRDefault="005050CE" w:rsidP="005050CE">
            <w:pPr>
              <w:spacing w:line="240" w:lineRule="auto"/>
            </w:pPr>
          </w:p>
        </w:tc>
        <w:tc>
          <w:tcPr>
            <w:tcW w:w="0" w:type="auto"/>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550755B3" w14:textId="77777777" w:rsidR="005050CE" w:rsidRPr="005050CE" w:rsidRDefault="005050CE" w:rsidP="005050CE">
            <w:pPr>
              <w:spacing w:line="240" w:lineRule="auto"/>
            </w:pPr>
          </w:p>
        </w:tc>
        <w:tc>
          <w:tcPr>
            <w:tcW w:w="0" w:type="auto"/>
            <w:gridSpan w:val="2"/>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156F9F41" w14:textId="77777777" w:rsidR="005050CE" w:rsidRPr="005050CE" w:rsidRDefault="005050CE" w:rsidP="005050CE">
            <w:pPr>
              <w:spacing w:line="240" w:lineRule="auto"/>
            </w:pPr>
          </w:p>
        </w:tc>
        <w:tc>
          <w:tcPr>
            <w:tcW w:w="0" w:type="auto"/>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763D3150"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2499CCD0"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000000"/>
              <w:right w:val="single" w:sz="4" w:space="0" w:color="000000"/>
            </w:tcBorders>
            <w:shd w:val="clear" w:color="auto" w:fill="EBF1DD"/>
            <w:tcMar>
              <w:top w:w="0" w:type="dxa"/>
              <w:left w:w="108" w:type="dxa"/>
              <w:bottom w:w="0" w:type="dxa"/>
              <w:right w:w="108" w:type="dxa"/>
            </w:tcMar>
            <w:vAlign w:val="center"/>
            <w:hideMark/>
          </w:tcPr>
          <w:p w14:paraId="3B53200E" w14:textId="77777777" w:rsidR="005050CE" w:rsidRPr="005050CE" w:rsidRDefault="005050CE" w:rsidP="005050CE">
            <w:pPr>
              <w:spacing w:line="240" w:lineRule="auto"/>
            </w:pPr>
          </w:p>
        </w:tc>
      </w:tr>
      <w:tr w:rsidR="005050CE" w:rsidRPr="005050CE" w14:paraId="0FCFA01F" w14:textId="77777777" w:rsidTr="005668F9">
        <w:tc>
          <w:tcPr>
            <w:tcW w:w="0" w:type="auto"/>
            <w:tcBorders>
              <w:top w:val="single" w:sz="4" w:space="0" w:color="4F6228"/>
              <w:left w:val="single" w:sz="4" w:space="0" w:color="4F6228"/>
              <w:bottom w:val="single" w:sz="4" w:space="0" w:color="4F6228"/>
              <w:right w:val="single" w:sz="4" w:space="0" w:color="4F6228"/>
            </w:tcBorders>
            <w:shd w:val="clear" w:color="auto" w:fill="C2D69B"/>
            <w:tcMar>
              <w:top w:w="0" w:type="dxa"/>
              <w:left w:w="108" w:type="dxa"/>
              <w:bottom w:w="0" w:type="dxa"/>
              <w:right w:w="108" w:type="dxa"/>
            </w:tcMar>
            <w:vAlign w:val="center"/>
            <w:hideMark/>
          </w:tcPr>
          <w:p w14:paraId="77A85FB6" w14:textId="77777777" w:rsidR="005050CE" w:rsidRPr="005050CE" w:rsidRDefault="005050CE" w:rsidP="005050CE">
            <w:pPr>
              <w:spacing w:line="240" w:lineRule="auto"/>
            </w:pPr>
          </w:p>
        </w:tc>
        <w:tc>
          <w:tcPr>
            <w:tcW w:w="0" w:type="auto"/>
            <w:tcBorders>
              <w:top w:val="single" w:sz="4" w:space="0" w:color="4F6228"/>
              <w:left w:val="single" w:sz="4" w:space="0" w:color="4F6228"/>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116CB70A" w14:textId="77777777" w:rsidR="005050CE" w:rsidRPr="005050CE" w:rsidRDefault="005050CE" w:rsidP="005050CE">
            <w:pPr>
              <w:spacing w:line="240" w:lineRule="auto"/>
            </w:pPr>
          </w:p>
        </w:tc>
        <w:tc>
          <w:tcPr>
            <w:tcW w:w="0" w:type="auto"/>
            <w:gridSpan w:val="2"/>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12B6C018" w14:textId="77777777" w:rsidR="005050CE" w:rsidRPr="005050CE" w:rsidRDefault="005050CE" w:rsidP="005050CE">
            <w:pPr>
              <w:spacing w:line="240" w:lineRule="auto"/>
            </w:pPr>
          </w:p>
        </w:tc>
        <w:tc>
          <w:tcPr>
            <w:tcW w:w="0" w:type="auto"/>
            <w:tcBorders>
              <w:top w:val="single" w:sz="4" w:space="0" w:color="4F6228"/>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07F41ACF"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3AB5329E" w14:textId="77777777" w:rsidR="005050CE" w:rsidRPr="005050CE" w:rsidRDefault="005050CE" w:rsidP="005050CE">
            <w:pPr>
              <w:spacing w:line="240" w:lineRule="auto"/>
            </w:pPr>
          </w:p>
        </w:tc>
        <w:tc>
          <w:tcPr>
            <w:tcW w:w="0" w:type="auto"/>
            <w:tcBorders>
              <w:top w:val="single" w:sz="4" w:space="0" w:color="000000"/>
              <w:left w:val="single" w:sz="4" w:space="0" w:color="000000"/>
              <w:bottom w:val="single" w:sz="4" w:space="0" w:color="4F6228"/>
              <w:right w:val="single" w:sz="4" w:space="0" w:color="000000"/>
            </w:tcBorders>
            <w:shd w:val="clear" w:color="auto" w:fill="EBF1DD"/>
            <w:tcMar>
              <w:top w:w="0" w:type="dxa"/>
              <w:left w:w="108" w:type="dxa"/>
              <w:bottom w:w="0" w:type="dxa"/>
              <w:right w:w="108" w:type="dxa"/>
            </w:tcMar>
            <w:vAlign w:val="center"/>
            <w:hideMark/>
          </w:tcPr>
          <w:p w14:paraId="5463B2CF" w14:textId="77777777" w:rsidR="005050CE" w:rsidRPr="005050CE" w:rsidRDefault="005050CE" w:rsidP="005050CE">
            <w:pPr>
              <w:spacing w:line="240" w:lineRule="auto"/>
            </w:pPr>
          </w:p>
        </w:tc>
      </w:tr>
    </w:tbl>
    <w:p w14:paraId="2B3E6E79" w14:textId="77777777" w:rsidR="005050CE" w:rsidRPr="005050CE" w:rsidRDefault="005050CE" w:rsidP="005050CE">
      <w:pPr>
        <w:spacing w:line="240" w:lineRule="auto"/>
        <w:rPr>
          <w:lang w:val="en-US"/>
        </w:rPr>
      </w:pPr>
    </w:p>
    <w:p w14:paraId="1520EE0D" w14:textId="77777777" w:rsidR="005050CE" w:rsidRPr="005050CE" w:rsidRDefault="005050CE" w:rsidP="005050CE">
      <w:pPr>
        <w:spacing w:line="240" w:lineRule="auto"/>
        <w:rPr>
          <w:lang w:val="en-US"/>
        </w:rPr>
      </w:pPr>
    </w:p>
    <w:p w14:paraId="2B593740" w14:textId="77777777" w:rsidR="005050CE" w:rsidRPr="005050CE" w:rsidRDefault="005050CE" w:rsidP="005050CE">
      <w:pPr>
        <w:spacing w:line="240" w:lineRule="auto"/>
        <w:rPr>
          <w:b/>
          <w:bCs/>
          <w:lang w:val="en-US"/>
        </w:rPr>
      </w:pPr>
      <w:r w:rsidRPr="005050CE">
        <w:rPr>
          <w:b/>
          <w:bCs/>
          <w:lang w:val="en-US"/>
        </w:rPr>
        <w:t>9.Certified Bout Widths</w:t>
      </w:r>
    </w:p>
    <w:p w14:paraId="18A95384" w14:textId="77777777" w:rsidR="005050CE" w:rsidRPr="005050CE" w:rsidRDefault="005050CE" w:rsidP="007A3DE0">
      <w:pPr>
        <w:spacing w:line="240" w:lineRule="auto"/>
        <w:jc w:val="both"/>
        <w:rPr>
          <w:lang w:val="en-US"/>
        </w:rPr>
      </w:pPr>
      <w:r w:rsidRPr="005050CE">
        <w:rPr>
          <w:lang w:val="en-US"/>
        </w:rPr>
        <w:t xml:space="preserve">The tester will generate a CV for boom section pressures.  The Certified Bout Width of a sprayer will be set by the number of nozzles and nozzle spacing where the test result for boom section pressures is 5% or less.  </w:t>
      </w:r>
    </w:p>
    <w:p w14:paraId="32F5AA73" w14:textId="7CF81491" w:rsidR="005050CE" w:rsidRPr="005050CE" w:rsidRDefault="005050CE" w:rsidP="007A3DE0">
      <w:pPr>
        <w:spacing w:line="240" w:lineRule="auto"/>
        <w:jc w:val="both"/>
        <w:rPr>
          <w:lang w:val="en-US"/>
        </w:rPr>
      </w:pPr>
      <w:r w:rsidRPr="005050CE">
        <w:rPr>
          <w:lang w:val="en-US"/>
        </w:rPr>
        <w:t xml:space="preserve">The tester </w:t>
      </w:r>
      <w:r w:rsidR="00DD48B6">
        <w:rPr>
          <w:lang w:val="en-US"/>
        </w:rPr>
        <w:t>shall</w:t>
      </w:r>
      <w:r w:rsidRPr="005050CE">
        <w:rPr>
          <w:lang w:val="en-US"/>
        </w:rPr>
        <w:t xml:space="preserve"> also generate a comparison of measured combined nozzle flow with expected combined nozzle flow for Stream type and standard nozzles at 2 bar boom pressure.  The Certified Bout Width of a sprayer will be set by the number of nozzles and nozzle spacing where the combined nozzle flow test shows the nozzles are within 5% of flow expected by manufacturers.  </w:t>
      </w:r>
    </w:p>
    <w:p w14:paraId="1598B9CC" w14:textId="77777777" w:rsidR="005050CE" w:rsidRPr="005050CE" w:rsidRDefault="005050CE" w:rsidP="007A3DE0">
      <w:pPr>
        <w:spacing w:line="240" w:lineRule="auto"/>
        <w:jc w:val="both"/>
        <w:rPr>
          <w:lang w:val="en-US"/>
        </w:rPr>
      </w:pPr>
      <w:r w:rsidRPr="005050CE">
        <w:rPr>
          <w:lang w:val="en-US"/>
        </w:rPr>
        <w:t>The tester will generate a CV for dribble bars.  The Certified Bout Width of a sprayer will be set by the number of nozzles and nozzle spacing where the test result is 15% or less for water.</w:t>
      </w:r>
    </w:p>
    <w:p w14:paraId="1F1C8D8B" w14:textId="77777777" w:rsidR="005050CE" w:rsidRPr="005050CE" w:rsidRDefault="005050CE" w:rsidP="005050CE">
      <w:pPr>
        <w:spacing w:line="240" w:lineRule="auto"/>
        <w:rPr>
          <w:lang w:val="en-US"/>
        </w:rPr>
      </w:pPr>
    </w:p>
    <w:p w14:paraId="256EDD72" w14:textId="77777777" w:rsidR="005050CE" w:rsidRPr="005050CE" w:rsidRDefault="005050CE" w:rsidP="005050CE">
      <w:pPr>
        <w:spacing w:line="240" w:lineRule="auto"/>
        <w:rPr>
          <w:b/>
          <w:bCs/>
          <w:lang w:val="en-US"/>
        </w:rPr>
      </w:pPr>
      <w:r w:rsidRPr="005050CE">
        <w:rPr>
          <w:b/>
          <w:bCs/>
          <w:lang w:val="en-US"/>
        </w:rPr>
        <w:t>10.Reporting</w:t>
      </w:r>
    </w:p>
    <w:p w14:paraId="293230FD" w14:textId="2E5183CA" w:rsidR="005050CE" w:rsidRPr="005050CE" w:rsidRDefault="005050CE" w:rsidP="007A3DE0">
      <w:pPr>
        <w:spacing w:line="240" w:lineRule="auto"/>
        <w:jc w:val="both"/>
      </w:pPr>
      <w:r w:rsidRPr="005050CE">
        <w:t xml:space="preserve">Approved Spreading (Spraying) </w:t>
      </w:r>
      <w:r w:rsidR="002B5FCF">
        <w:t>Unit</w:t>
      </w:r>
      <w:r w:rsidRPr="005050CE">
        <w:t xml:space="preserve"> Testers will, at the conclusion of the test, produce a Spreadmark Sprayer Performance Certificate.</w:t>
      </w:r>
    </w:p>
    <w:p w14:paraId="058E13D5" w14:textId="77777777" w:rsidR="005050CE" w:rsidRPr="005050CE" w:rsidRDefault="005050CE" w:rsidP="007A3DE0">
      <w:pPr>
        <w:spacing w:line="240" w:lineRule="auto"/>
        <w:jc w:val="both"/>
      </w:pPr>
      <w:r w:rsidRPr="005050CE">
        <w:t>The Spreadmark Sprayer Performance Certificate must show, at least:</w:t>
      </w:r>
    </w:p>
    <w:p w14:paraId="369B9584" w14:textId="3DCEBA89" w:rsidR="005050CE" w:rsidRPr="005050CE" w:rsidRDefault="005050CE" w:rsidP="007A3DE0">
      <w:pPr>
        <w:numPr>
          <w:ilvl w:val="0"/>
          <w:numId w:val="12"/>
        </w:numPr>
        <w:spacing w:line="240" w:lineRule="auto"/>
        <w:jc w:val="both"/>
      </w:pPr>
      <w:r w:rsidRPr="005050CE">
        <w:t>The spraying company name, a vehicle</w:t>
      </w:r>
      <w:r w:rsidR="00AA4E15">
        <w:t xml:space="preserve"> or spreading unit </w:t>
      </w:r>
      <w:r w:rsidR="0001368C">
        <w:t xml:space="preserve">unique </w:t>
      </w:r>
      <w:r w:rsidR="0001368C" w:rsidRPr="005050CE">
        <w:t>identification</w:t>
      </w:r>
      <w:r w:rsidRPr="005050CE">
        <w:t xml:space="preserve"> number, sprayer and tank size.</w:t>
      </w:r>
    </w:p>
    <w:p w14:paraId="09C3B934" w14:textId="77777777" w:rsidR="005050CE" w:rsidRPr="005050CE" w:rsidRDefault="005050CE" w:rsidP="007A3DE0">
      <w:pPr>
        <w:numPr>
          <w:ilvl w:val="0"/>
          <w:numId w:val="12"/>
        </w:numPr>
        <w:spacing w:line="240" w:lineRule="auto"/>
        <w:jc w:val="both"/>
      </w:pPr>
      <w:r w:rsidRPr="005050CE">
        <w:t>The boom section pressures.</w:t>
      </w:r>
    </w:p>
    <w:p w14:paraId="34A4C7F9" w14:textId="77777777" w:rsidR="005050CE" w:rsidRPr="005050CE" w:rsidRDefault="005050CE" w:rsidP="007A3DE0">
      <w:pPr>
        <w:numPr>
          <w:ilvl w:val="0"/>
          <w:numId w:val="12"/>
        </w:numPr>
        <w:spacing w:line="240" w:lineRule="auto"/>
        <w:jc w:val="both"/>
      </w:pPr>
      <w:r w:rsidRPr="005050CE">
        <w:t>Comparison of combined nozzle flow with manufacturers expected combined flow.</w:t>
      </w:r>
    </w:p>
    <w:p w14:paraId="30986B42" w14:textId="77777777" w:rsidR="005050CE" w:rsidRPr="005050CE" w:rsidRDefault="005050CE" w:rsidP="007A3DE0">
      <w:pPr>
        <w:numPr>
          <w:ilvl w:val="0"/>
          <w:numId w:val="12"/>
        </w:numPr>
        <w:spacing w:line="240" w:lineRule="auto"/>
        <w:jc w:val="both"/>
      </w:pPr>
      <w:r w:rsidRPr="005050CE">
        <w:t>The Certified Bout Width for each nozzle tested (see item 9, for details).</w:t>
      </w:r>
    </w:p>
    <w:p w14:paraId="6257879C" w14:textId="77777777" w:rsidR="005050CE" w:rsidRPr="005050CE" w:rsidRDefault="005050CE" w:rsidP="007A3DE0">
      <w:pPr>
        <w:numPr>
          <w:ilvl w:val="0"/>
          <w:numId w:val="12"/>
        </w:numPr>
        <w:spacing w:line="240" w:lineRule="auto"/>
        <w:jc w:val="both"/>
      </w:pPr>
      <w:r w:rsidRPr="005050CE">
        <w:t>The date of the test and the expiry date of the certificate. The expiry date will be two years after the date of the test.</w:t>
      </w:r>
    </w:p>
    <w:p w14:paraId="52FA5432" w14:textId="77777777" w:rsidR="005050CE" w:rsidRPr="005050CE" w:rsidRDefault="005050CE" w:rsidP="007A3DE0">
      <w:pPr>
        <w:numPr>
          <w:ilvl w:val="0"/>
          <w:numId w:val="12"/>
        </w:numPr>
        <w:spacing w:line="240" w:lineRule="auto"/>
        <w:jc w:val="both"/>
      </w:pPr>
      <w:r w:rsidRPr="005050CE">
        <w:t>The certified application rate for each nozzle.</w:t>
      </w:r>
    </w:p>
    <w:p w14:paraId="687CEAE9" w14:textId="77777777" w:rsidR="005050CE" w:rsidRPr="005050CE" w:rsidRDefault="005050CE" w:rsidP="007A3DE0">
      <w:pPr>
        <w:spacing w:line="240" w:lineRule="auto"/>
        <w:jc w:val="both"/>
      </w:pPr>
      <w:r w:rsidRPr="005050CE">
        <w:t>On completion the Sprayer Performance Certificate will be sent to the company with a copy to the Auditor.</w:t>
      </w:r>
    </w:p>
    <w:p w14:paraId="1B4CEA4D" w14:textId="77777777" w:rsidR="005050CE" w:rsidRPr="005050CE" w:rsidRDefault="005050CE" w:rsidP="005050CE">
      <w:pPr>
        <w:spacing w:line="240" w:lineRule="auto"/>
        <w:rPr>
          <w:lang w:val="en-US"/>
        </w:rPr>
      </w:pPr>
    </w:p>
    <w:sectPr w:rsidR="005050CE" w:rsidRPr="005050CE" w:rsidSect="008F257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E526C" w14:textId="77777777" w:rsidR="00DD260B" w:rsidRDefault="00DD260B" w:rsidP="00A279EF">
      <w:pPr>
        <w:spacing w:after="0" w:line="240" w:lineRule="auto"/>
      </w:pPr>
      <w:r>
        <w:separator/>
      </w:r>
    </w:p>
  </w:endnote>
  <w:endnote w:type="continuationSeparator" w:id="0">
    <w:p w14:paraId="50F9421C" w14:textId="77777777" w:rsidR="00DD260B" w:rsidRDefault="00DD260B" w:rsidP="00A2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600711"/>
      <w:docPartObj>
        <w:docPartGallery w:val="Page Numbers (Bottom of Page)"/>
        <w:docPartUnique/>
      </w:docPartObj>
    </w:sdtPr>
    <w:sdtEndPr>
      <w:rPr>
        <w:noProof/>
      </w:rPr>
    </w:sdtEndPr>
    <w:sdtContent>
      <w:p w14:paraId="51942D4D" w14:textId="40F1A0AA" w:rsidR="004D71BE" w:rsidRDefault="004D71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479C3D" w14:textId="2D747ADB" w:rsidR="003A0D07" w:rsidRDefault="004D71BE" w:rsidP="003A0D07">
    <w:pPr>
      <w:pStyle w:val="Footer"/>
      <w:jc w:val="center"/>
    </w:pPr>
    <w:r>
      <w:t>Technical Specification</w:t>
    </w:r>
    <w:r w:rsidR="00DD280E">
      <w:t>s</w:t>
    </w:r>
    <w:r>
      <w:t xml:space="preserve"> </w:t>
    </w:r>
    <w:r w:rsidR="003A0D07">
      <w:t>for the Testing of Conventional Boom Sprayers Applying Liquid Nutrient</w:t>
    </w:r>
  </w:p>
  <w:p w14:paraId="236EA5E0" w14:textId="33F65F9A" w:rsidR="004D71BE" w:rsidRDefault="00E1538E" w:rsidP="003A0D07">
    <w:pPr>
      <w:pStyle w:val="Footer"/>
      <w:jc w:val="center"/>
    </w:pPr>
    <w:r>
      <w:t>29 June</w:t>
    </w:r>
    <w:r w:rsidR="003A0D07">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AD2F2" w14:textId="77777777" w:rsidR="00DD260B" w:rsidRDefault="00DD260B" w:rsidP="00A279EF">
      <w:pPr>
        <w:spacing w:after="0" w:line="240" w:lineRule="auto"/>
      </w:pPr>
      <w:r>
        <w:separator/>
      </w:r>
    </w:p>
  </w:footnote>
  <w:footnote w:type="continuationSeparator" w:id="0">
    <w:p w14:paraId="29C1E244" w14:textId="77777777" w:rsidR="00DD260B" w:rsidRDefault="00DD260B" w:rsidP="00A279EF">
      <w:pPr>
        <w:spacing w:after="0" w:line="240" w:lineRule="auto"/>
      </w:pPr>
      <w:r>
        <w:continuationSeparator/>
      </w:r>
    </w:p>
  </w:footnote>
  <w:footnote w:id="1">
    <w:p w14:paraId="3FD4AAAA" w14:textId="45CC4EA5" w:rsidR="00131196" w:rsidRDefault="00131196" w:rsidP="009B0012">
      <w:pPr>
        <w:pStyle w:val="FootnoteText"/>
        <w:jc w:val="both"/>
      </w:pPr>
      <w:r>
        <w:rPr>
          <w:rStyle w:val="FootnoteReference"/>
        </w:rPr>
        <w:footnoteRef/>
      </w:r>
      <w:r>
        <w:t xml:space="preserve"> </w:t>
      </w:r>
      <w:r w:rsidRPr="00DF4189">
        <w:rPr>
          <w:sz w:val="18"/>
          <w:szCs w:val="18"/>
        </w:rPr>
        <w:t>This certification procedure assumes a controller is always used to automatically adjust flow in relation to forward speed.</w:t>
      </w:r>
    </w:p>
  </w:footnote>
  <w:footnote w:id="2">
    <w:p w14:paraId="588F35B6" w14:textId="144A2019" w:rsidR="00AC3A45" w:rsidRDefault="00AC3A45" w:rsidP="00AC3A45">
      <w:pPr>
        <w:pStyle w:val="FootnoteText"/>
        <w:jc w:val="both"/>
      </w:pPr>
      <w:r>
        <w:rPr>
          <w:rStyle w:val="FootnoteReference"/>
        </w:rPr>
        <w:footnoteRef/>
      </w:r>
      <w:r>
        <w:t xml:space="preserve"> </w:t>
      </w:r>
      <w:r w:rsidRPr="00AC3A45">
        <w:rPr>
          <w:sz w:val="18"/>
          <w:szCs w:val="18"/>
        </w:rPr>
        <w:t>Determining if nozzle flow is within 10% of specifications requires flow tests on individual nozzles.  C of V for nutrient nozzles operating in NZ should be carried out during the development of this specification unless this data is available from manufacturers.</w:t>
      </w:r>
    </w:p>
  </w:footnote>
  <w:footnote w:id="3">
    <w:p w14:paraId="5BED1160" w14:textId="4AB6601C" w:rsidR="00991A28" w:rsidRDefault="00991A28">
      <w:pPr>
        <w:pStyle w:val="FootnoteText"/>
      </w:pPr>
      <w:r>
        <w:rPr>
          <w:rStyle w:val="FootnoteReference"/>
        </w:rPr>
        <w:footnoteRef/>
      </w:r>
      <w:r>
        <w:t xml:space="preserve"> </w:t>
      </w:r>
      <w:r w:rsidRPr="00991A28">
        <w:rPr>
          <w:sz w:val="18"/>
          <w:szCs w:val="18"/>
        </w:rPr>
        <w:t xml:space="preserve">Longitudinal distribution is discussed in the existing Spreadmark COP for dry </w:t>
      </w:r>
      <w:r w:rsidRPr="00991A28">
        <w:rPr>
          <w:sz w:val="18"/>
          <w:szCs w:val="18"/>
        </w:rPr>
        <w:t>nutrient but no testing procedure or standards are apparent.</w:t>
      </w:r>
    </w:p>
  </w:footnote>
  <w:footnote w:id="4">
    <w:p w14:paraId="18626437" w14:textId="38B730B1" w:rsidR="00F3360F" w:rsidRDefault="00F3360F">
      <w:pPr>
        <w:pStyle w:val="FootnoteText"/>
      </w:pPr>
      <w:r>
        <w:rPr>
          <w:rStyle w:val="FootnoteReference"/>
        </w:rPr>
        <w:footnoteRef/>
      </w:r>
      <w:r>
        <w:t xml:space="preserve"> </w:t>
      </w:r>
      <w:r w:rsidRPr="00F3360F">
        <w:rPr>
          <w:sz w:val="18"/>
          <w:szCs w:val="18"/>
        </w:rPr>
        <w:t>There may be a need to define a liquid as compared with a slurry of fine (ground) particles in water as compared with a sludge.  For the former the nutrient dissolves in water whereas the latter the product remains solid but is in suspension.   The concentration or specific gravity of the material in a tank may also indicate liquid versus slurry although some agrichemicals are suspension concentrates but are termed liquid rather than slurry.   Viscosity describes the sheer resistance of a fluid.</w:t>
      </w:r>
    </w:p>
  </w:footnote>
  <w:footnote w:id="5">
    <w:p w14:paraId="1C95187D" w14:textId="6F124F51" w:rsidR="00F3360F" w:rsidRDefault="00F3360F" w:rsidP="00F3360F">
      <w:pPr>
        <w:pStyle w:val="FootnoteText"/>
        <w:jc w:val="both"/>
      </w:pPr>
      <w:r>
        <w:rPr>
          <w:rStyle w:val="FootnoteReference"/>
        </w:rPr>
        <w:footnoteRef/>
      </w:r>
      <w:r>
        <w:t xml:space="preserve"> </w:t>
      </w:r>
      <w:r w:rsidRPr="00F3360F">
        <w:rPr>
          <w:sz w:val="18"/>
          <w:szCs w:val="18"/>
        </w:rPr>
        <w:t>Common dissolved Urea products contain up to 19% N along with other macro-nutrients such as sulphur and micro-nutrients such as copper.</w:t>
      </w:r>
    </w:p>
  </w:footnote>
  <w:footnote w:id="6">
    <w:p w14:paraId="79415BCC" w14:textId="1A9C8AF5" w:rsidR="003C2AA6" w:rsidRDefault="003C2AA6">
      <w:pPr>
        <w:pStyle w:val="FootnoteText"/>
      </w:pPr>
      <w:r>
        <w:rPr>
          <w:rStyle w:val="FootnoteReference"/>
        </w:rPr>
        <w:footnoteRef/>
      </w:r>
      <w:r>
        <w:t xml:space="preserve"> </w:t>
      </w:r>
      <w:r w:rsidRPr="003C2AA6">
        <w:rPr>
          <w:sz w:val="18"/>
          <w:szCs w:val="18"/>
        </w:rPr>
        <w:t xml:space="preserve">The proportion of nitrogen on a </w:t>
      </w:r>
      <w:r w:rsidR="001905C8" w:rsidRPr="003C2AA6">
        <w:rPr>
          <w:sz w:val="18"/>
          <w:szCs w:val="18"/>
        </w:rPr>
        <w:t>weight-to-weight</w:t>
      </w:r>
      <w:r w:rsidRPr="003C2AA6">
        <w:rPr>
          <w:sz w:val="18"/>
          <w:szCs w:val="18"/>
        </w:rPr>
        <w:t xml:space="preserve"> basis.</w:t>
      </w:r>
    </w:p>
  </w:footnote>
  <w:footnote w:id="7">
    <w:p w14:paraId="2CFB5C2B" w14:textId="21D6A988" w:rsidR="0073479E" w:rsidRPr="0073479E" w:rsidRDefault="0073479E" w:rsidP="0073479E">
      <w:pPr>
        <w:pStyle w:val="FootnoteText"/>
        <w:rPr>
          <w:sz w:val="18"/>
          <w:szCs w:val="18"/>
        </w:rPr>
      </w:pPr>
      <w:r>
        <w:rPr>
          <w:rStyle w:val="FootnoteReference"/>
        </w:rPr>
        <w:footnoteRef/>
      </w:r>
      <w:r>
        <w:t xml:space="preserve"> </w:t>
      </w:r>
      <w:r w:rsidRPr="0073479E">
        <w:rPr>
          <w:sz w:val="18"/>
          <w:szCs w:val="18"/>
        </w:rPr>
        <w:t xml:space="preserve">Otherwise, the default nominated test rates </w:t>
      </w:r>
      <w:r w:rsidR="007A3DE0">
        <w:rPr>
          <w:sz w:val="18"/>
          <w:szCs w:val="18"/>
        </w:rPr>
        <w:t>shall</w:t>
      </w:r>
      <w:r w:rsidRPr="0073479E">
        <w:rPr>
          <w:sz w:val="18"/>
          <w:szCs w:val="18"/>
        </w:rPr>
        <w:t xml:space="preserve"> be:</w:t>
      </w:r>
    </w:p>
    <w:p w14:paraId="420B99A4" w14:textId="77777777" w:rsidR="0073479E" w:rsidRPr="0073479E" w:rsidRDefault="0073479E" w:rsidP="0073479E">
      <w:pPr>
        <w:pStyle w:val="FootnoteText"/>
        <w:rPr>
          <w:sz w:val="18"/>
          <w:szCs w:val="18"/>
        </w:rPr>
      </w:pPr>
      <w:r w:rsidRPr="0073479E">
        <w:rPr>
          <w:sz w:val="18"/>
          <w:szCs w:val="18"/>
        </w:rPr>
        <w:t>•</w:t>
      </w:r>
      <w:r w:rsidRPr="0073479E">
        <w:rPr>
          <w:sz w:val="18"/>
          <w:szCs w:val="18"/>
        </w:rPr>
        <w:tab/>
        <w:t xml:space="preserve">150 L/ha </w:t>
      </w:r>
    </w:p>
    <w:p w14:paraId="7BD28B93" w14:textId="5211EF03" w:rsidR="0073479E" w:rsidRDefault="0073479E" w:rsidP="0073479E">
      <w:pPr>
        <w:pStyle w:val="FootnoteText"/>
      </w:pPr>
      <w:r w:rsidRPr="0073479E">
        <w:rPr>
          <w:sz w:val="18"/>
          <w:szCs w:val="18"/>
        </w:rPr>
        <w:t>•</w:t>
      </w:r>
      <w:r w:rsidRPr="0073479E">
        <w:rPr>
          <w:sz w:val="18"/>
          <w:szCs w:val="18"/>
        </w:rPr>
        <w:tab/>
        <w:t xml:space="preserve">25 </w:t>
      </w:r>
      <w:r w:rsidRPr="0073479E">
        <w:rPr>
          <w:sz w:val="18"/>
          <w:szCs w:val="18"/>
        </w:rPr>
        <w:t>kgN/ha</w:t>
      </w:r>
    </w:p>
  </w:footnote>
  <w:footnote w:id="8">
    <w:p w14:paraId="7787AFCE" w14:textId="71D70248" w:rsidR="00E420E1" w:rsidRDefault="00E420E1">
      <w:pPr>
        <w:pStyle w:val="FootnoteText"/>
      </w:pPr>
      <w:r>
        <w:rPr>
          <w:rStyle w:val="FootnoteReference"/>
        </w:rPr>
        <w:footnoteRef/>
      </w:r>
      <w:r>
        <w:t xml:space="preserve"> </w:t>
      </w:r>
      <w:r w:rsidR="00C933DE" w:rsidRPr="00C933DE">
        <w:rPr>
          <w:sz w:val="18"/>
          <w:szCs w:val="18"/>
        </w:rPr>
        <w:t xml:space="preserve">Suggest use a </w:t>
      </w:r>
      <w:r w:rsidR="00E07583" w:rsidRPr="00C933DE">
        <w:rPr>
          <w:sz w:val="18"/>
          <w:szCs w:val="18"/>
        </w:rPr>
        <w:t>5-litre</w:t>
      </w:r>
      <w:r w:rsidR="00C933DE" w:rsidRPr="00C933DE">
        <w:rPr>
          <w:sz w:val="18"/>
          <w:szCs w:val="18"/>
        </w:rPr>
        <w:t xml:space="preserve"> jug and collect for sufficient time to fill jug with more than 2.5 litres of water.</w:t>
      </w:r>
    </w:p>
  </w:footnote>
  <w:footnote w:id="9">
    <w:p w14:paraId="5FB96A1D" w14:textId="06E17E7E" w:rsidR="00B96793" w:rsidRDefault="00B96793">
      <w:pPr>
        <w:pStyle w:val="FootnoteText"/>
      </w:pPr>
      <w:r>
        <w:rPr>
          <w:rStyle w:val="FootnoteReference"/>
        </w:rPr>
        <w:footnoteRef/>
      </w:r>
      <w:r>
        <w:t xml:space="preserve"> </w:t>
      </w:r>
      <w:r w:rsidRPr="0092714B">
        <w:rPr>
          <w:sz w:val="18"/>
          <w:szCs w:val="18"/>
        </w:rPr>
        <w:t>Manufacturers flow chart per nozzle multiplied by the number of nozzles.</w:t>
      </w:r>
    </w:p>
  </w:footnote>
  <w:footnote w:id="10">
    <w:p w14:paraId="4B2F5B11" w14:textId="0575123D" w:rsidR="0092714B" w:rsidRDefault="0092714B">
      <w:pPr>
        <w:pStyle w:val="FootnoteText"/>
      </w:pPr>
      <w:r>
        <w:rPr>
          <w:rStyle w:val="FootnoteReference"/>
        </w:rPr>
        <w:footnoteRef/>
      </w:r>
      <w:r>
        <w:t xml:space="preserve"> </w:t>
      </w:r>
      <w:r w:rsidRPr="0092714B">
        <w:rPr>
          <w:sz w:val="18"/>
          <w:szCs w:val="18"/>
        </w:rPr>
        <w:t>1 millilitre (ml) of water = 1 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044C"/>
    <w:multiLevelType w:val="hybridMultilevel"/>
    <w:tmpl w:val="1AA0B0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823BC2"/>
    <w:multiLevelType w:val="hybridMultilevel"/>
    <w:tmpl w:val="63C4E782"/>
    <w:lvl w:ilvl="0" w:tplc="746A6B9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4B7D9F"/>
    <w:multiLevelType w:val="hybridMultilevel"/>
    <w:tmpl w:val="F97A6C1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0004C40"/>
    <w:multiLevelType w:val="multilevel"/>
    <w:tmpl w:val="0DD02E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6DC12BD"/>
    <w:multiLevelType w:val="hybridMultilevel"/>
    <w:tmpl w:val="BA18CB22"/>
    <w:lvl w:ilvl="0" w:tplc="D93C91FA">
      <w:start w:val="1"/>
      <w:numFmt w:val="decimal"/>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E442D1C"/>
    <w:multiLevelType w:val="multilevel"/>
    <w:tmpl w:val="157CB77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D338B"/>
    <w:multiLevelType w:val="multilevel"/>
    <w:tmpl w:val="3484FD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3F835F6"/>
    <w:multiLevelType w:val="hybridMultilevel"/>
    <w:tmpl w:val="ADEA6C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4A478A4"/>
    <w:multiLevelType w:val="multilevel"/>
    <w:tmpl w:val="F28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40E0F"/>
    <w:multiLevelType w:val="hybridMultilevel"/>
    <w:tmpl w:val="FC0874CA"/>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10" w15:restartNumberingAfterBreak="0">
    <w:nsid w:val="5A8037CA"/>
    <w:multiLevelType w:val="hybridMultilevel"/>
    <w:tmpl w:val="25E2B8E8"/>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9E0166D"/>
    <w:multiLevelType w:val="multilevel"/>
    <w:tmpl w:val="EB42DE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1F50FA0"/>
    <w:multiLevelType w:val="hybridMultilevel"/>
    <w:tmpl w:val="2FB802D8"/>
    <w:lvl w:ilvl="0" w:tplc="14090005">
      <w:start w:val="1"/>
      <w:numFmt w:val="bullet"/>
      <w:lvlText w:val=""/>
      <w:lvlJc w:val="left"/>
      <w:pPr>
        <w:ind w:left="720" w:hanging="360"/>
      </w:pPr>
      <w:rPr>
        <w:rFonts w:ascii="Wingdings" w:hAnsi="Wingdings"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27375A6"/>
    <w:multiLevelType w:val="hybridMultilevel"/>
    <w:tmpl w:val="89E8FD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3C63F10"/>
    <w:multiLevelType w:val="hybridMultilevel"/>
    <w:tmpl w:val="22E06462"/>
    <w:lvl w:ilvl="0" w:tplc="14090005">
      <w:start w:val="1"/>
      <w:numFmt w:val="bullet"/>
      <w:lvlText w:val=""/>
      <w:lvlJc w:val="left"/>
      <w:pPr>
        <w:ind w:left="1077" w:hanging="360"/>
      </w:pPr>
      <w:rPr>
        <w:rFonts w:ascii="Wingdings" w:hAnsi="Wingdings" w:hint="default"/>
      </w:rPr>
    </w:lvl>
    <w:lvl w:ilvl="1" w:tplc="14090005">
      <w:start w:val="1"/>
      <w:numFmt w:val="bullet"/>
      <w:lvlText w:val=""/>
      <w:lvlJc w:val="left"/>
      <w:pPr>
        <w:ind w:left="1797" w:hanging="360"/>
      </w:pPr>
      <w:rPr>
        <w:rFonts w:ascii="Wingdings" w:hAnsi="Wingdings"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5" w15:restartNumberingAfterBreak="0">
    <w:nsid w:val="76DE7BD5"/>
    <w:multiLevelType w:val="hybridMultilevel"/>
    <w:tmpl w:val="D6FE64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F9F5852"/>
    <w:multiLevelType w:val="multilevel"/>
    <w:tmpl w:val="1CA2B6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145958">
    <w:abstractNumId w:val="14"/>
  </w:num>
  <w:num w:numId="2" w16cid:durableId="119108597">
    <w:abstractNumId w:val="12"/>
  </w:num>
  <w:num w:numId="3" w16cid:durableId="791902086">
    <w:abstractNumId w:val="2"/>
  </w:num>
  <w:num w:numId="4" w16cid:durableId="1872842171">
    <w:abstractNumId w:val="7"/>
  </w:num>
  <w:num w:numId="5" w16cid:durableId="1054474767">
    <w:abstractNumId w:val="10"/>
  </w:num>
  <w:num w:numId="6" w16cid:durableId="1034844579">
    <w:abstractNumId w:val="1"/>
  </w:num>
  <w:num w:numId="7" w16cid:durableId="1994096248">
    <w:abstractNumId w:val="5"/>
  </w:num>
  <w:num w:numId="8" w16cid:durableId="1961262658">
    <w:abstractNumId w:val="6"/>
  </w:num>
  <w:num w:numId="9" w16cid:durableId="1631397012">
    <w:abstractNumId w:val="0"/>
  </w:num>
  <w:num w:numId="10" w16cid:durableId="1190535664">
    <w:abstractNumId w:val="3"/>
  </w:num>
  <w:num w:numId="11" w16cid:durableId="776173376">
    <w:abstractNumId w:val="11"/>
  </w:num>
  <w:num w:numId="12" w16cid:durableId="725880333">
    <w:abstractNumId w:val="8"/>
  </w:num>
  <w:num w:numId="13" w16cid:durableId="2091417127">
    <w:abstractNumId w:val="15"/>
  </w:num>
  <w:num w:numId="14" w16cid:durableId="497698706">
    <w:abstractNumId w:val="16"/>
  </w:num>
  <w:num w:numId="15" w16cid:durableId="393820712">
    <w:abstractNumId w:val="9"/>
  </w:num>
  <w:num w:numId="16" w16cid:durableId="127937968">
    <w:abstractNumId w:val="4"/>
  </w:num>
  <w:num w:numId="17" w16cid:durableId="364599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EF"/>
    <w:rsid w:val="0001368C"/>
    <w:rsid w:val="000361E0"/>
    <w:rsid w:val="00042D22"/>
    <w:rsid w:val="000575F7"/>
    <w:rsid w:val="000A1B49"/>
    <w:rsid w:val="000B02EE"/>
    <w:rsid w:val="000E00FD"/>
    <w:rsid w:val="00101DD3"/>
    <w:rsid w:val="001062EF"/>
    <w:rsid w:val="00131196"/>
    <w:rsid w:val="00163AE8"/>
    <w:rsid w:val="001905C8"/>
    <w:rsid w:val="001E0287"/>
    <w:rsid w:val="001F0FD6"/>
    <w:rsid w:val="00244277"/>
    <w:rsid w:val="00244C9C"/>
    <w:rsid w:val="002A1386"/>
    <w:rsid w:val="002B5FCF"/>
    <w:rsid w:val="002C0A56"/>
    <w:rsid w:val="002C6392"/>
    <w:rsid w:val="002D1EC4"/>
    <w:rsid w:val="002D6578"/>
    <w:rsid w:val="0031125F"/>
    <w:rsid w:val="0036192C"/>
    <w:rsid w:val="00386005"/>
    <w:rsid w:val="003870E2"/>
    <w:rsid w:val="00391219"/>
    <w:rsid w:val="003A0D07"/>
    <w:rsid w:val="003B40D0"/>
    <w:rsid w:val="003B7238"/>
    <w:rsid w:val="003C2AA6"/>
    <w:rsid w:val="003C3CBA"/>
    <w:rsid w:val="003C3D28"/>
    <w:rsid w:val="003C4D53"/>
    <w:rsid w:val="004136A7"/>
    <w:rsid w:val="0045581B"/>
    <w:rsid w:val="0045749A"/>
    <w:rsid w:val="004822C0"/>
    <w:rsid w:val="004A78D7"/>
    <w:rsid w:val="004B2DA9"/>
    <w:rsid w:val="004B442A"/>
    <w:rsid w:val="004D459D"/>
    <w:rsid w:val="004D5F6F"/>
    <w:rsid w:val="004D71BE"/>
    <w:rsid w:val="005050CE"/>
    <w:rsid w:val="00546ECE"/>
    <w:rsid w:val="00584030"/>
    <w:rsid w:val="005B1265"/>
    <w:rsid w:val="005D06E7"/>
    <w:rsid w:val="005E3CBD"/>
    <w:rsid w:val="005F0118"/>
    <w:rsid w:val="006378A1"/>
    <w:rsid w:val="006755B7"/>
    <w:rsid w:val="006A39FB"/>
    <w:rsid w:val="006F4EDE"/>
    <w:rsid w:val="006F5439"/>
    <w:rsid w:val="00703361"/>
    <w:rsid w:val="0073479E"/>
    <w:rsid w:val="0074214B"/>
    <w:rsid w:val="007A3DE0"/>
    <w:rsid w:val="007A6B5C"/>
    <w:rsid w:val="007D1F2C"/>
    <w:rsid w:val="007D324A"/>
    <w:rsid w:val="007E4AC7"/>
    <w:rsid w:val="00813078"/>
    <w:rsid w:val="00814B18"/>
    <w:rsid w:val="008778C8"/>
    <w:rsid w:val="00891938"/>
    <w:rsid w:val="00893837"/>
    <w:rsid w:val="008B00A9"/>
    <w:rsid w:val="008D5F39"/>
    <w:rsid w:val="008F257F"/>
    <w:rsid w:val="00904720"/>
    <w:rsid w:val="009055A5"/>
    <w:rsid w:val="0092714B"/>
    <w:rsid w:val="00941F05"/>
    <w:rsid w:val="009567F9"/>
    <w:rsid w:val="0098498B"/>
    <w:rsid w:val="00991A28"/>
    <w:rsid w:val="009B0012"/>
    <w:rsid w:val="00A0386C"/>
    <w:rsid w:val="00A279EF"/>
    <w:rsid w:val="00A353DE"/>
    <w:rsid w:val="00A5174D"/>
    <w:rsid w:val="00A84CED"/>
    <w:rsid w:val="00AA4E15"/>
    <w:rsid w:val="00AC21C2"/>
    <w:rsid w:val="00AC3A45"/>
    <w:rsid w:val="00AD060B"/>
    <w:rsid w:val="00AE4B60"/>
    <w:rsid w:val="00AF01CA"/>
    <w:rsid w:val="00B126C5"/>
    <w:rsid w:val="00B44000"/>
    <w:rsid w:val="00B96793"/>
    <w:rsid w:val="00BC4CF1"/>
    <w:rsid w:val="00BF0527"/>
    <w:rsid w:val="00BF201A"/>
    <w:rsid w:val="00BF3FC1"/>
    <w:rsid w:val="00BF773A"/>
    <w:rsid w:val="00C033AA"/>
    <w:rsid w:val="00C07BCC"/>
    <w:rsid w:val="00C50150"/>
    <w:rsid w:val="00C535EE"/>
    <w:rsid w:val="00C638B3"/>
    <w:rsid w:val="00C90D51"/>
    <w:rsid w:val="00C933DE"/>
    <w:rsid w:val="00C93883"/>
    <w:rsid w:val="00CB32C7"/>
    <w:rsid w:val="00CB3CA7"/>
    <w:rsid w:val="00CB3D16"/>
    <w:rsid w:val="00CF15F6"/>
    <w:rsid w:val="00CF175D"/>
    <w:rsid w:val="00D73BE0"/>
    <w:rsid w:val="00D80787"/>
    <w:rsid w:val="00D82B60"/>
    <w:rsid w:val="00DC6D77"/>
    <w:rsid w:val="00DD260B"/>
    <w:rsid w:val="00DD280E"/>
    <w:rsid w:val="00DD48B6"/>
    <w:rsid w:val="00DF4189"/>
    <w:rsid w:val="00E07583"/>
    <w:rsid w:val="00E124F9"/>
    <w:rsid w:val="00E1538E"/>
    <w:rsid w:val="00E3258D"/>
    <w:rsid w:val="00E418BE"/>
    <w:rsid w:val="00E420E1"/>
    <w:rsid w:val="00EA4D71"/>
    <w:rsid w:val="00EA7FA0"/>
    <w:rsid w:val="00EF4E13"/>
    <w:rsid w:val="00F3360F"/>
    <w:rsid w:val="00FE2DEA"/>
    <w:rsid w:val="00FE5977"/>
    <w:rsid w:val="00FF0E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516C"/>
  <w15:chartTrackingRefBased/>
  <w15:docId w15:val="{060DC421-A8F5-4500-81CA-180F1615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79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9EF"/>
    <w:rPr>
      <w:sz w:val="20"/>
      <w:szCs w:val="20"/>
    </w:rPr>
  </w:style>
  <w:style w:type="table" w:customStyle="1" w:styleId="LightList-Accent31">
    <w:name w:val="Light List - Accent 31"/>
    <w:basedOn w:val="TableNormal"/>
    <w:next w:val="LightList-Accent3"/>
    <w:uiPriority w:val="61"/>
    <w:rsid w:val="00A279EF"/>
    <w:pPr>
      <w:spacing w:after="0" w:line="240" w:lineRule="auto"/>
    </w:pPr>
    <w:rPr>
      <w:rFonts w:eastAsia="Times New Roman"/>
      <w:kern w:val="0"/>
      <w:lang w:val="en-US" w:eastAsia="ja-JP"/>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Grid">
    <w:name w:val="Table Grid"/>
    <w:basedOn w:val="TableNormal"/>
    <w:uiPriority w:val="59"/>
    <w:rsid w:val="00A279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A279EF"/>
    <w:rPr>
      <w:vertAlign w:val="superscript"/>
    </w:rPr>
  </w:style>
  <w:style w:type="table" w:styleId="LightList-Accent3">
    <w:name w:val="Light List Accent 3"/>
    <w:basedOn w:val="TableNormal"/>
    <w:uiPriority w:val="61"/>
    <w:semiHidden/>
    <w:unhideWhenUsed/>
    <w:rsid w:val="00A279E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CommentReference">
    <w:name w:val="annotation reference"/>
    <w:basedOn w:val="DefaultParagraphFont"/>
    <w:uiPriority w:val="99"/>
    <w:semiHidden/>
    <w:unhideWhenUsed/>
    <w:rsid w:val="005050CE"/>
    <w:rPr>
      <w:sz w:val="16"/>
      <w:szCs w:val="16"/>
    </w:rPr>
  </w:style>
  <w:style w:type="paragraph" w:styleId="CommentText">
    <w:name w:val="annotation text"/>
    <w:basedOn w:val="Normal"/>
    <w:link w:val="CommentTextChar"/>
    <w:uiPriority w:val="99"/>
    <w:unhideWhenUsed/>
    <w:rsid w:val="005050CE"/>
    <w:pPr>
      <w:spacing w:line="240" w:lineRule="auto"/>
    </w:pPr>
    <w:rPr>
      <w:sz w:val="20"/>
      <w:szCs w:val="20"/>
    </w:rPr>
  </w:style>
  <w:style w:type="character" w:customStyle="1" w:styleId="CommentTextChar">
    <w:name w:val="Comment Text Char"/>
    <w:basedOn w:val="DefaultParagraphFont"/>
    <w:link w:val="CommentText"/>
    <w:uiPriority w:val="99"/>
    <w:rsid w:val="005050CE"/>
    <w:rPr>
      <w:sz w:val="20"/>
      <w:szCs w:val="20"/>
    </w:rPr>
  </w:style>
  <w:style w:type="table" w:customStyle="1" w:styleId="TableGrid1">
    <w:name w:val="Table Grid1"/>
    <w:basedOn w:val="TableNormal"/>
    <w:next w:val="TableGrid"/>
    <w:uiPriority w:val="39"/>
    <w:rsid w:val="00505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1BE"/>
  </w:style>
  <w:style w:type="paragraph" w:styleId="Footer">
    <w:name w:val="footer"/>
    <w:basedOn w:val="Normal"/>
    <w:link w:val="FooterChar"/>
    <w:uiPriority w:val="99"/>
    <w:unhideWhenUsed/>
    <w:rsid w:val="004D7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1BE"/>
  </w:style>
  <w:style w:type="paragraph" w:styleId="EndnoteText">
    <w:name w:val="endnote text"/>
    <w:basedOn w:val="Normal"/>
    <w:link w:val="EndnoteTextChar"/>
    <w:uiPriority w:val="99"/>
    <w:semiHidden/>
    <w:unhideWhenUsed/>
    <w:rsid w:val="008938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837"/>
    <w:rPr>
      <w:sz w:val="20"/>
      <w:szCs w:val="20"/>
    </w:rPr>
  </w:style>
  <w:style w:type="character" w:styleId="EndnoteReference">
    <w:name w:val="endnote reference"/>
    <w:basedOn w:val="DefaultParagraphFont"/>
    <w:uiPriority w:val="99"/>
    <w:semiHidden/>
    <w:unhideWhenUsed/>
    <w:rsid w:val="00893837"/>
    <w:rPr>
      <w:vertAlign w:val="superscript"/>
    </w:rPr>
  </w:style>
  <w:style w:type="paragraph" w:styleId="ListParagraph">
    <w:name w:val="List Paragraph"/>
    <w:basedOn w:val="Normal"/>
    <w:uiPriority w:val="34"/>
    <w:qFormat/>
    <w:rsid w:val="00042D22"/>
    <w:pPr>
      <w:ind w:left="720"/>
      <w:contextualSpacing/>
    </w:pPr>
  </w:style>
  <w:style w:type="paragraph" w:styleId="Revision">
    <w:name w:val="Revision"/>
    <w:hidden/>
    <w:uiPriority w:val="99"/>
    <w:semiHidden/>
    <w:rsid w:val="00E07583"/>
    <w:pPr>
      <w:spacing w:after="0" w:line="240" w:lineRule="auto"/>
    </w:pPr>
  </w:style>
  <w:style w:type="character" w:styleId="Hyperlink">
    <w:name w:val="Hyperlink"/>
    <w:basedOn w:val="DefaultParagraphFont"/>
    <w:uiPriority w:val="99"/>
    <w:semiHidden/>
    <w:unhideWhenUsed/>
    <w:rsid w:val="00D73BE0"/>
    <w:rPr>
      <w:color w:val="0000FF"/>
      <w:u w:val="single"/>
    </w:rPr>
  </w:style>
  <w:style w:type="paragraph" w:styleId="CommentSubject">
    <w:name w:val="annotation subject"/>
    <w:basedOn w:val="CommentText"/>
    <w:next w:val="CommentText"/>
    <w:link w:val="CommentSubjectChar"/>
    <w:uiPriority w:val="99"/>
    <w:semiHidden/>
    <w:unhideWhenUsed/>
    <w:rsid w:val="008D5F39"/>
    <w:rPr>
      <w:b/>
      <w:bCs/>
    </w:rPr>
  </w:style>
  <w:style w:type="character" w:customStyle="1" w:styleId="CommentSubjectChar">
    <w:name w:val="Comment Subject Char"/>
    <w:basedOn w:val="CommentTextChar"/>
    <w:link w:val="CommentSubject"/>
    <w:uiPriority w:val="99"/>
    <w:semiHidden/>
    <w:rsid w:val="008D5F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3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ertqual.co.nz/spreadmark/"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ertqual.co.nz/resources/"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528131765F6545973BDCF3AC8C42A5" ma:contentTypeVersion="18" ma:contentTypeDescription="Create a new document." ma:contentTypeScope="" ma:versionID="706d261599d2126e8c236bd95f836830">
  <xsd:schema xmlns:xsd="http://www.w3.org/2001/XMLSchema" xmlns:xs="http://www.w3.org/2001/XMLSchema" xmlns:p="http://schemas.microsoft.com/office/2006/metadata/properties" xmlns:ns2="343c5b23-d0be-49e5-b89b-ccb1dc4f6069" xmlns:ns3="87ca9139-3b0a-4ac8-9142-1846b4fe7204" targetNamespace="http://schemas.microsoft.com/office/2006/metadata/properties" ma:root="true" ma:fieldsID="5c6a9ab6cefc87d18d160de233a0f017" ns2:_="" ns3:_="">
    <xsd:import namespace="343c5b23-d0be-49e5-b89b-ccb1dc4f6069"/>
    <xsd:import namespace="87ca9139-3b0a-4ac8-9142-1846b4fe7204"/>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c5b23-d0be-49e5-b89b-ccb1dc4f606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088a8-313d-4ffc-99d3-94987a022b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a9139-3b0a-4ac8-9142-1846b4fe72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caf2add-a973-40ee-b9bb-4ae4708f26d5}" ma:internalName="TaxCatchAll" ma:showField="CatchAllData" ma:web="87ca9139-3b0a-4ac8-9142-1846b4fe7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9136A-C61B-4448-8590-AA619C63FB2A}">
  <ds:schemaRefs>
    <ds:schemaRef ds:uri="http://schemas.openxmlformats.org/officeDocument/2006/bibliography"/>
  </ds:schemaRefs>
</ds:datastoreItem>
</file>

<file path=customXml/itemProps2.xml><?xml version="1.0" encoding="utf-8"?>
<ds:datastoreItem xmlns:ds="http://schemas.openxmlformats.org/officeDocument/2006/customXml" ds:itemID="{3B91DE32-C378-4D3D-B4FA-8E9CBA785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c5b23-d0be-49e5-b89b-ccb1dc4f6069"/>
    <ds:schemaRef ds:uri="87ca9139-3b0a-4ac8-9142-1846b4fe7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189A0-5FC4-4EDD-BC5E-95BEC8602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2742</Words>
  <Characters>15633</Characters>
  <Application>Microsoft Office Word</Application>
  <DocSecurity>0</DocSecurity>
  <Lines>130</Lines>
  <Paragraphs>36</Paragraphs>
  <ScaleCrop>false</ScaleCrop>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Fietje</dc:creator>
  <cp:keywords/>
  <dc:description/>
  <cp:lastModifiedBy>Leo Fietje</cp:lastModifiedBy>
  <cp:revision>6</cp:revision>
  <dcterms:created xsi:type="dcterms:W3CDTF">2024-06-29T02:21:00Z</dcterms:created>
  <dcterms:modified xsi:type="dcterms:W3CDTF">2024-07-01T00:21:00Z</dcterms:modified>
</cp:coreProperties>
</file>