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3133C" w14:textId="77777777" w:rsidR="00EC325E" w:rsidRPr="00EC325E" w:rsidRDefault="00EC325E" w:rsidP="00EC325E">
      <w:pPr>
        <w:spacing w:after="600" w:line="276" w:lineRule="auto"/>
        <w:jc w:val="center"/>
        <w:rPr>
          <w:rFonts w:ascii="Arial" w:eastAsia="Arial" w:hAnsi="Arial" w:cs="Arial"/>
          <w:b/>
          <w:smallCaps/>
          <w:kern w:val="0"/>
          <w:sz w:val="36"/>
          <w:szCs w:val="36"/>
          <w:lang w:eastAsia="en-NZ"/>
          <w14:ligatures w14:val="none"/>
        </w:rPr>
      </w:pPr>
      <w:r w:rsidRPr="00EC325E">
        <w:rPr>
          <w:rFonts w:ascii="Calibri" w:eastAsia="Calibri" w:hAnsi="Calibri" w:cs="Calibri"/>
          <w:noProof/>
          <w:kern w:val="0"/>
          <w:lang w:eastAsia="en-NZ"/>
          <w14:ligatures w14:val="none"/>
        </w:rPr>
        <w:drawing>
          <wp:inline distT="0" distB="0" distL="0" distR="0" wp14:anchorId="1C152D19" wp14:editId="7D085BC7">
            <wp:extent cx="3741420" cy="2635077"/>
            <wp:effectExtent l="0" t="0" r="0" b="0"/>
            <wp:docPr id="156033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6723" name=""/>
                    <pic:cNvPicPr/>
                  </pic:nvPicPr>
                  <pic:blipFill>
                    <a:blip r:embed="rId9"/>
                    <a:stretch>
                      <a:fillRect/>
                    </a:stretch>
                  </pic:blipFill>
                  <pic:spPr>
                    <a:xfrm>
                      <a:off x="0" y="0"/>
                      <a:ext cx="3752573" cy="2642932"/>
                    </a:xfrm>
                    <a:prstGeom prst="rect">
                      <a:avLst/>
                    </a:prstGeom>
                  </pic:spPr>
                </pic:pic>
              </a:graphicData>
            </a:graphic>
          </wp:inline>
        </w:drawing>
      </w:r>
    </w:p>
    <w:p w14:paraId="4E85B8CA" w14:textId="70A00776" w:rsidR="00EC325E" w:rsidRDefault="009B7D06" w:rsidP="00EC325E">
      <w:pPr>
        <w:pBdr>
          <w:bottom w:val="single" w:sz="6" w:space="1" w:color="4F6228"/>
        </w:pBdr>
        <w:spacing w:after="240" w:line="276" w:lineRule="auto"/>
        <w:ind w:left="567" w:right="567"/>
        <w:jc w:val="center"/>
        <w:rPr>
          <w:rFonts w:ascii="Calibri" w:eastAsia="Calibri" w:hAnsi="Calibri" w:cs="Calibri"/>
          <w:b/>
          <w:color w:val="869D69"/>
          <w:kern w:val="0"/>
          <w:sz w:val="72"/>
          <w:szCs w:val="72"/>
          <w:lang w:eastAsia="en-NZ"/>
          <w14:ligatures w14:val="none"/>
        </w:rPr>
      </w:pPr>
      <w:r>
        <w:rPr>
          <w:rFonts w:ascii="Calibri" w:eastAsia="Calibri" w:hAnsi="Calibri" w:cs="Calibri"/>
          <w:b/>
          <w:color w:val="869D69"/>
          <w:kern w:val="0"/>
          <w:sz w:val="72"/>
          <w:szCs w:val="72"/>
          <w:lang w:eastAsia="en-NZ"/>
          <w14:ligatures w14:val="none"/>
        </w:rPr>
        <w:t>B</w:t>
      </w:r>
      <w:r w:rsidR="00EC325E" w:rsidRPr="00EC325E">
        <w:rPr>
          <w:rFonts w:ascii="Calibri" w:eastAsia="Calibri" w:hAnsi="Calibri" w:cs="Calibri"/>
          <w:b/>
          <w:color w:val="869D69"/>
          <w:kern w:val="0"/>
          <w:sz w:val="72"/>
          <w:szCs w:val="72"/>
          <w:lang w:eastAsia="en-NZ"/>
          <w14:ligatures w14:val="none"/>
        </w:rPr>
        <w:t xml:space="preserve">ooklet </w:t>
      </w:r>
      <w:r w:rsidR="00C211C8">
        <w:rPr>
          <w:rFonts w:ascii="Calibri" w:eastAsia="Calibri" w:hAnsi="Calibri" w:cs="Calibri"/>
          <w:b/>
          <w:color w:val="869D69"/>
          <w:kern w:val="0"/>
          <w:sz w:val="72"/>
          <w:szCs w:val="72"/>
          <w:lang w:eastAsia="en-NZ"/>
          <w14:ligatures w14:val="none"/>
        </w:rPr>
        <w:t>Two</w:t>
      </w:r>
    </w:p>
    <w:p w14:paraId="025BFD77" w14:textId="6E4A17B7" w:rsidR="002A5C65" w:rsidRPr="002A5C65" w:rsidRDefault="002A5C65" w:rsidP="002A5C65">
      <w:pPr>
        <w:pBdr>
          <w:bottom w:val="single" w:sz="6" w:space="1" w:color="4F6228"/>
        </w:pBdr>
        <w:spacing w:after="240" w:line="276" w:lineRule="auto"/>
        <w:ind w:left="567" w:right="567"/>
        <w:jc w:val="center"/>
        <w:rPr>
          <w:rFonts w:ascii="Calibri" w:eastAsia="Calibri" w:hAnsi="Calibri" w:cs="Calibri"/>
          <w:b/>
          <w:color w:val="869D69"/>
          <w:kern w:val="0"/>
          <w:sz w:val="36"/>
          <w:szCs w:val="36"/>
          <w:lang w:eastAsia="en-NZ"/>
          <w14:ligatures w14:val="none"/>
        </w:rPr>
      </w:pPr>
      <w:r w:rsidRPr="002A5C65">
        <w:rPr>
          <w:rFonts w:ascii="Calibri" w:eastAsia="Calibri" w:hAnsi="Calibri" w:cs="Calibri"/>
          <w:b/>
          <w:color w:val="869D69"/>
          <w:kern w:val="0"/>
          <w:sz w:val="36"/>
          <w:szCs w:val="36"/>
          <w:lang w:eastAsia="en-NZ"/>
          <w14:ligatures w14:val="none"/>
        </w:rPr>
        <w:t xml:space="preserve">of the </w:t>
      </w:r>
    </w:p>
    <w:p w14:paraId="2BF0E011" w14:textId="1E176904" w:rsidR="002A5C65" w:rsidRPr="00EC325E" w:rsidRDefault="002A5C65" w:rsidP="002A5C65">
      <w:pPr>
        <w:pBdr>
          <w:bottom w:val="single" w:sz="6" w:space="1" w:color="4F6228"/>
        </w:pBdr>
        <w:spacing w:after="240" w:line="276" w:lineRule="auto"/>
        <w:ind w:left="567" w:right="567"/>
        <w:jc w:val="center"/>
        <w:rPr>
          <w:rFonts w:ascii="Calibri" w:eastAsia="Calibri" w:hAnsi="Calibri" w:cs="Calibri"/>
          <w:b/>
          <w:color w:val="869D69"/>
          <w:kern w:val="0"/>
          <w:sz w:val="72"/>
          <w:szCs w:val="72"/>
          <w:lang w:eastAsia="en-NZ"/>
          <w14:ligatures w14:val="none"/>
        </w:rPr>
      </w:pPr>
      <w:r w:rsidRPr="002A5C65">
        <w:rPr>
          <w:rFonts w:ascii="Calibri" w:eastAsia="Calibri" w:hAnsi="Calibri" w:cs="Calibri"/>
          <w:b/>
          <w:color w:val="869D69"/>
          <w:kern w:val="0"/>
          <w:sz w:val="72"/>
          <w:szCs w:val="72"/>
          <w:lang w:eastAsia="en-NZ"/>
          <w14:ligatures w14:val="none"/>
        </w:rPr>
        <w:t>Spreadmark Code of Practice</w:t>
      </w:r>
    </w:p>
    <w:p w14:paraId="484288E4" w14:textId="30439A17" w:rsidR="00C211C8" w:rsidRPr="002A5C65" w:rsidRDefault="00C211C8" w:rsidP="00C211C8">
      <w:pPr>
        <w:pBdr>
          <w:bottom w:val="single" w:sz="6" w:space="1" w:color="4F6228"/>
        </w:pBdr>
        <w:spacing w:after="0" w:line="276" w:lineRule="auto"/>
        <w:ind w:left="567" w:right="567"/>
        <w:jc w:val="center"/>
        <w:rPr>
          <w:rFonts w:ascii="Calibri" w:eastAsia="Calibri" w:hAnsi="Calibri" w:cs="Calibri"/>
          <w:b/>
          <w:bCs/>
          <w:kern w:val="0"/>
          <w:sz w:val="64"/>
          <w:szCs w:val="64"/>
          <w:lang w:eastAsia="en-NZ"/>
          <w14:ligatures w14:val="none"/>
        </w:rPr>
      </w:pPr>
      <w:r w:rsidRPr="002A5C65">
        <w:rPr>
          <w:rFonts w:ascii="Calibri" w:eastAsia="Calibri" w:hAnsi="Calibri" w:cs="Calibri"/>
          <w:b/>
          <w:bCs/>
          <w:kern w:val="0"/>
          <w:sz w:val="64"/>
          <w:szCs w:val="64"/>
          <w:lang w:eastAsia="en-NZ"/>
          <w14:ligatures w14:val="none"/>
        </w:rPr>
        <w:t xml:space="preserve">Technical </w:t>
      </w:r>
      <w:r w:rsidR="009B7D06" w:rsidRPr="002A5C65">
        <w:rPr>
          <w:rFonts w:ascii="Calibri" w:eastAsia="Calibri" w:hAnsi="Calibri" w:cs="Calibri"/>
          <w:b/>
          <w:bCs/>
          <w:kern w:val="0"/>
          <w:sz w:val="64"/>
          <w:szCs w:val="64"/>
          <w:lang w:eastAsia="en-NZ"/>
          <w14:ligatures w14:val="none"/>
        </w:rPr>
        <w:t>S</w:t>
      </w:r>
      <w:r w:rsidRPr="002A5C65">
        <w:rPr>
          <w:rFonts w:ascii="Calibri" w:eastAsia="Calibri" w:hAnsi="Calibri" w:cs="Calibri"/>
          <w:b/>
          <w:bCs/>
          <w:kern w:val="0"/>
          <w:sz w:val="64"/>
          <w:szCs w:val="64"/>
          <w:lang w:eastAsia="en-NZ"/>
          <w14:ligatures w14:val="none"/>
        </w:rPr>
        <w:t>pecification</w:t>
      </w:r>
      <w:r w:rsidR="0057326F">
        <w:rPr>
          <w:rFonts w:ascii="Calibri" w:eastAsia="Calibri" w:hAnsi="Calibri" w:cs="Calibri"/>
          <w:b/>
          <w:bCs/>
          <w:kern w:val="0"/>
          <w:sz w:val="64"/>
          <w:szCs w:val="64"/>
          <w:lang w:eastAsia="en-NZ"/>
          <w14:ligatures w14:val="none"/>
        </w:rPr>
        <w:t>s</w:t>
      </w:r>
      <w:r w:rsidRPr="002A5C65">
        <w:rPr>
          <w:rFonts w:ascii="Calibri" w:eastAsia="Calibri" w:hAnsi="Calibri" w:cs="Calibri"/>
          <w:b/>
          <w:bCs/>
          <w:kern w:val="0"/>
          <w:sz w:val="64"/>
          <w:szCs w:val="64"/>
          <w:lang w:eastAsia="en-NZ"/>
          <w14:ligatures w14:val="none"/>
        </w:rPr>
        <w:t xml:space="preserve"> for the </w:t>
      </w:r>
      <w:r w:rsidR="009B7D06" w:rsidRPr="002A5C65">
        <w:rPr>
          <w:rFonts w:ascii="Calibri" w:eastAsia="Calibri" w:hAnsi="Calibri" w:cs="Calibri"/>
          <w:b/>
          <w:bCs/>
          <w:kern w:val="0"/>
          <w:sz w:val="64"/>
          <w:szCs w:val="64"/>
          <w:lang w:eastAsia="en-NZ"/>
          <w14:ligatures w14:val="none"/>
        </w:rPr>
        <w:t>T</w:t>
      </w:r>
      <w:r w:rsidRPr="002A5C65">
        <w:rPr>
          <w:rFonts w:ascii="Calibri" w:eastAsia="Calibri" w:hAnsi="Calibri" w:cs="Calibri"/>
          <w:b/>
          <w:bCs/>
          <w:kern w:val="0"/>
          <w:sz w:val="64"/>
          <w:szCs w:val="64"/>
          <w:lang w:eastAsia="en-NZ"/>
          <w14:ligatures w14:val="none"/>
        </w:rPr>
        <w:t xml:space="preserve">esting and </w:t>
      </w:r>
      <w:r w:rsidR="009B7D06" w:rsidRPr="002A5C65">
        <w:rPr>
          <w:rFonts w:ascii="Calibri" w:eastAsia="Calibri" w:hAnsi="Calibri" w:cs="Calibri"/>
          <w:b/>
          <w:bCs/>
          <w:kern w:val="0"/>
          <w:sz w:val="64"/>
          <w:szCs w:val="64"/>
          <w:lang w:eastAsia="en-NZ"/>
          <w14:ligatures w14:val="none"/>
        </w:rPr>
        <w:t>C</w:t>
      </w:r>
      <w:r w:rsidRPr="002A5C65">
        <w:rPr>
          <w:rFonts w:ascii="Calibri" w:eastAsia="Calibri" w:hAnsi="Calibri" w:cs="Calibri"/>
          <w:b/>
          <w:bCs/>
          <w:kern w:val="0"/>
          <w:sz w:val="64"/>
          <w:szCs w:val="64"/>
          <w:lang w:eastAsia="en-NZ"/>
          <w14:ligatures w14:val="none"/>
        </w:rPr>
        <w:t xml:space="preserve">ertification of </w:t>
      </w:r>
      <w:r w:rsidR="009B7D06" w:rsidRPr="002A5C65">
        <w:rPr>
          <w:rFonts w:ascii="Calibri" w:eastAsia="Calibri" w:hAnsi="Calibri" w:cs="Calibri"/>
          <w:b/>
          <w:bCs/>
          <w:kern w:val="0"/>
          <w:sz w:val="64"/>
          <w:szCs w:val="64"/>
          <w:lang w:eastAsia="en-NZ"/>
          <w14:ligatures w14:val="none"/>
        </w:rPr>
        <w:t>S</w:t>
      </w:r>
      <w:r w:rsidRPr="002A5C65">
        <w:rPr>
          <w:rFonts w:ascii="Calibri" w:eastAsia="Calibri" w:hAnsi="Calibri" w:cs="Calibri"/>
          <w:b/>
          <w:bCs/>
          <w:kern w:val="0"/>
          <w:sz w:val="64"/>
          <w:szCs w:val="64"/>
          <w:lang w:eastAsia="en-NZ"/>
          <w14:ligatures w14:val="none"/>
        </w:rPr>
        <w:t xml:space="preserve">olid </w:t>
      </w:r>
      <w:r w:rsidR="00166211">
        <w:rPr>
          <w:rFonts w:ascii="Calibri" w:eastAsia="Calibri" w:hAnsi="Calibri" w:cs="Calibri"/>
          <w:b/>
          <w:bCs/>
          <w:kern w:val="0"/>
          <w:sz w:val="64"/>
          <w:szCs w:val="64"/>
          <w:lang w:eastAsia="en-NZ"/>
          <w14:ligatures w14:val="none"/>
        </w:rPr>
        <w:t>Nutr</w:t>
      </w:r>
      <w:r w:rsidR="00200704">
        <w:rPr>
          <w:rFonts w:ascii="Calibri" w:eastAsia="Calibri" w:hAnsi="Calibri" w:cs="Calibri"/>
          <w:b/>
          <w:bCs/>
          <w:kern w:val="0"/>
          <w:sz w:val="64"/>
          <w:szCs w:val="64"/>
          <w:lang w:eastAsia="en-NZ"/>
          <w14:ligatures w14:val="none"/>
        </w:rPr>
        <w:t>ient</w:t>
      </w:r>
      <w:r w:rsidRPr="002A5C65">
        <w:rPr>
          <w:rFonts w:ascii="Calibri" w:eastAsia="Calibri" w:hAnsi="Calibri" w:cs="Calibri"/>
          <w:b/>
          <w:bCs/>
          <w:kern w:val="0"/>
          <w:sz w:val="64"/>
          <w:szCs w:val="64"/>
          <w:lang w:eastAsia="en-NZ"/>
          <w14:ligatures w14:val="none"/>
        </w:rPr>
        <w:t xml:space="preserve"> </w:t>
      </w:r>
      <w:r w:rsidR="00E30214">
        <w:rPr>
          <w:rFonts w:ascii="Calibri" w:eastAsia="Calibri" w:hAnsi="Calibri" w:cs="Calibri"/>
          <w:b/>
          <w:bCs/>
          <w:kern w:val="0"/>
          <w:sz w:val="64"/>
          <w:szCs w:val="64"/>
          <w:lang w:eastAsia="en-NZ"/>
          <w14:ligatures w14:val="none"/>
        </w:rPr>
        <w:t xml:space="preserve">Spreading </w:t>
      </w:r>
      <w:r w:rsidR="00886835">
        <w:rPr>
          <w:rFonts w:ascii="Calibri" w:eastAsia="Calibri" w:hAnsi="Calibri" w:cs="Calibri"/>
          <w:b/>
          <w:bCs/>
          <w:kern w:val="0"/>
          <w:sz w:val="64"/>
          <w:szCs w:val="64"/>
          <w:lang w:eastAsia="en-NZ"/>
          <w14:ligatures w14:val="none"/>
        </w:rPr>
        <w:t>Units</w:t>
      </w:r>
    </w:p>
    <w:p w14:paraId="43DBDB87" w14:textId="77777777" w:rsidR="00702CDC" w:rsidRDefault="00702CDC" w:rsidP="00702CDC">
      <w:pPr>
        <w:tabs>
          <w:tab w:val="left" w:pos="6348"/>
        </w:tabs>
        <w:rPr>
          <w:rFonts w:ascii="Arial" w:hAnsi="Arial" w:cs="Arial"/>
          <w:b/>
          <w:bCs/>
          <w:color w:val="000000"/>
          <w:sz w:val="36"/>
          <w:szCs w:val="36"/>
        </w:rPr>
      </w:pPr>
    </w:p>
    <w:p w14:paraId="32E657D3" w14:textId="6655B5D4" w:rsidR="00DB3F38" w:rsidRPr="007829F0" w:rsidRDefault="00DB3F38" w:rsidP="00BA1D71">
      <w:pPr>
        <w:jc w:val="center"/>
        <w:rPr>
          <w:rFonts w:cstheme="minorHAnsi"/>
          <w:b/>
          <w:bCs/>
          <w:caps/>
          <w:color w:val="000000"/>
          <w:sz w:val="24"/>
          <w:szCs w:val="24"/>
        </w:rPr>
      </w:pPr>
      <w:r w:rsidRPr="007829F0">
        <w:rPr>
          <w:rFonts w:cstheme="minorHAnsi"/>
          <w:b/>
          <w:bCs/>
          <w:caps/>
          <w:color w:val="000000"/>
          <w:sz w:val="24"/>
          <w:szCs w:val="24"/>
        </w:rPr>
        <w:lastRenderedPageBreak/>
        <w:t>Technical specification</w:t>
      </w:r>
      <w:r w:rsidR="0057326F">
        <w:rPr>
          <w:rFonts w:cstheme="minorHAnsi"/>
          <w:b/>
          <w:bCs/>
          <w:caps/>
          <w:color w:val="000000"/>
          <w:sz w:val="24"/>
          <w:szCs w:val="24"/>
        </w:rPr>
        <w:t>s</w:t>
      </w:r>
      <w:r w:rsidRPr="007829F0">
        <w:rPr>
          <w:rFonts w:cstheme="minorHAnsi"/>
          <w:b/>
          <w:bCs/>
          <w:caps/>
          <w:color w:val="000000"/>
          <w:sz w:val="24"/>
          <w:szCs w:val="24"/>
        </w:rPr>
        <w:t xml:space="preserve"> for the testing and certification </w:t>
      </w:r>
      <w:proofErr w:type="gramStart"/>
      <w:r w:rsidRPr="007829F0">
        <w:rPr>
          <w:rFonts w:cstheme="minorHAnsi"/>
          <w:b/>
          <w:bCs/>
          <w:caps/>
          <w:color w:val="000000"/>
          <w:sz w:val="24"/>
          <w:szCs w:val="24"/>
        </w:rPr>
        <w:t xml:space="preserve">of </w:t>
      </w:r>
      <w:r w:rsidR="006C2968" w:rsidRPr="007829F0">
        <w:rPr>
          <w:rFonts w:cstheme="minorHAnsi"/>
          <w:b/>
          <w:bCs/>
          <w:caps/>
          <w:color w:val="000000"/>
          <w:sz w:val="24"/>
          <w:szCs w:val="24"/>
        </w:rPr>
        <w:t xml:space="preserve"> </w:t>
      </w:r>
      <w:r w:rsidRPr="007829F0">
        <w:rPr>
          <w:rFonts w:cstheme="minorHAnsi"/>
          <w:b/>
          <w:bCs/>
          <w:caps/>
          <w:color w:val="000000"/>
          <w:sz w:val="24"/>
          <w:szCs w:val="24"/>
        </w:rPr>
        <w:t>solid</w:t>
      </w:r>
      <w:proofErr w:type="gramEnd"/>
      <w:r w:rsidRPr="007829F0">
        <w:rPr>
          <w:rFonts w:cstheme="minorHAnsi"/>
          <w:b/>
          <w:bCs/>
          <w:caps/>
          <w:color w:val="000000"/>
          <w:sz w:val="24"/>
          <w:szCs w:val="24"/>
        </w:rPr>
        <w:t xml:space="preserve"> </w:t>
      </w:r>
      <w:r w:rsidR="00200704">
        <w:rPr>
          <w:rFonts w:cstheme="minorHAnsi"/>
          <w:b/>
          <w:bCs/>
          <w:caps/>
          <w:color w:val="000000"/>
          <w:sz w:val="24"/>
          <w:szCs w:val="24"/>
        </w:rPr>
        <w:t>Nutrient</w:t>
      </w:r>
      <w:r w:rsidR="00C30644">
        <w:rPr>
          <w:rFonts w:cstheme="minorHAnsi"/>
          <w:b/>
          <w:bCs/>
          <w:caps/>
          <w:color w:val="000000"/>
          <w:sz w:val="24"/>
          <w:szCs w:val="24"/>
        </w:rPr>
        <w:t xml:space="preserve"> </w:t>
      </w:r>
      <w:r w:rsidR="00702CDC">
        <w:rPr>
          <w:rFonts w:cstheme="minorHAnsi"/>
          <w:b/>
          <w:bCs/>
          <w:caps/>
          <w:color w:val="000000"/>
          <w:sz w:val="24"/>
          <w:szCs w:val="24"/>
        </w:rPr>
        <w:t xml:space="preserve">SPREADING </w:t>
      </w:r>
      <w:r w:rsidR="00C30644">
        <w:rPr>
          <w:rFonts w:cstheme="minorHAnsi"/>
          <w:b/>
          <w:bCs/>
          <w:caps/>
          <w:color w:val="000000"/>
          <w:sz w:val="24"/>
          <w:szCs w:val="24"/>
        </w:rPr>
        <w:t>UNITS</w:t>
      </w:r>
    </w:p>
    <w:p w14:paraId="5CE5C391" w14:textId="077612FE" w:rsidR="00401C01" w:rsidRPr="00C30644" w:rsidRDefault="00401C01" w:rsidP="00401C01">
      <w:pPr>
        <w:spacing w:after="200" w:line="276" w:lineRule="auto"/>
        <w:rPr>
          <w:rFonts w:ascii="Calibri" w:eastAsia="Calibri" w:hAnsi="Calibri" w:cs="Calibri"/>
          <w:b/>
          <w:kern w:val="0"/>
          <w:lang w:eastAsia="en-NZ"/>
          <w14:ligatures w14:val="none"/>
        </w:rPr>
      </w:pPr>
      <w:r w:rsidRPr="00C30644">
        <w:rPr>
          <w:rFonts w:ascii="Calibri" w:eastAsia="Calibri" w:hAnsi="Calibri" w:cs="Calibri"/>
          <w:b/>
          <w:kern w:val="0"/>
          <w:lang w:eastAsia="en-NZ"/>
          <w14:ligatures w14:val="none"/>
        </w:rPr>
        <w:t>INTRODUCTION</w:t>
      </w:r>
    </w:p>
    <w:p w14:paraId="758C6691" w14:textId="77777777" w:rsidR="00401C01" w:rsidRPr="00401C01" w:rsidRDefault="00401C01" w:rsidP="00401C01">
      <w:pPr>
        <w:spacing w:after="200" w:line="276" w:lineRule="auto"/>
        <w:jc w:val="both"/>
        <w:rPr>
          <w:rFonts w:eastAsia="Calibri" w:cstheme="minorHAnsi"/>
          <w:bCs/>
          <w:kern w:val="0"/>
          <w:lang w:eastAsia="en-NZ"/>
          <w14:ligatures w14:val="none"/>
        </w:rPr>
      </w:pPr>
      <w:r w:rsidRPr="00401C01">
        <w:rPr>
          <w:rFonts w:eastAsia="Calibri" w:cstheme="minorHAnsi"/>
          <w:bCs/>
          <w:kern w:val="0"/>
          <w:lang w:eastAsia="en-NZ"/>
          <w14:ligatures w14:val="none"/>
        </w:rPr>
        <w:t xml:space="preserve">This booklet is one of four booklets containing information that supports the Spreadmark Code of Practice for the Application of Nutrients in New Zealand </w:t>
      </w:r>
    </w:p>
    <w:p w14:paraId="2647C12A" w14:textId="77777777" w:rsidR="00401C01" w:rsidRPr="00401C01" w:rsidRDefault="00401C01" w:rsidP="00401C01">
      <w:pPr>
        <w:spacing w:after="200" w:line="276" w:lineRule="auto"/>
        <w:jc w:val="both"/>
        <w:rPr>
          <w:rFonts w:eastAsia="Calibri" w:cstheme="minorHAnsi"/>
          <w:bCs/>
          <w:kern w:val="0"/>
          <w:lang w:eastAsia="en-NZ"/>
          <w14:ligatures w14:val="none"/>
        </w:rPr>
      </w:pPr>
      <w:r w:rsidRPr="00401C01">
        <w:rPr>
          <w:rFonts w:eastAsia="Calibri" w:cstheme="minorHAnsi"/>
          <w:bCs/>
          <w:kern w:val="0"/>
          <w:lang w:eastAsia="en-NZ"/>
          <w14:ligatures w14:val="none"/>
        </w:rPr>
        <w:t xml:space="preserve">The Spreadmark Code of Practice can be found here </w:t>
      </w:r>
      <w:hyperlink r:id="rId10" w:history="1">
        <w:r w:rsidRPr="00401C01">
          <w:rPr>
            <w:rFonts w:eastAsia="Calibri" w:cstheme="minorHAnsi"/>
            <w:bCs/>
            <w:color w:val="0563C1" w:themeColor="hyperlink"/>
            <w:kern w:val="0"/>
            <w:u w:val="single"/>
            <w:lang w:eastAsia="en-NZ"/>
            <w14:ligatures w14:val="none"/>
          </w:rPr>
          <w:t>https://fertqual.co.nz/resources/</w:t>
        </w:r>
      </w:hyperlink>
      <w:r w:rsidRPr="00401C01">
        <w:rPr>
          <w:rFonts w:eastAsia="Calibri" w:cstheme="minorHAnsi"/>
          <w:bCs/>
          <w:kern w:val="0"/>
          <w:lang w:eastAsia="en-NZ"/>
          <w14:ligatures w14:val="none"/>
        </w:rPr>
        <w:t xml:space="preserve"> </w:t>
      </w:r>
    </w:p>
    <w:p w14:paraId="29CA1EBB" w14:textId="77777777" w:rsidR="00401C01" w:rsidRPr="00401C01" w:rsidRDefault="00401C01" w:rsidP="00401C01">
      <w:pPr>
        <w:spacing w:after="200" w:line="276" w:lineRule="auto"/>
        <w:jc w:val="both"/>
        <w:rPr>
          <w:rFonts w:eastAsia="Calibri" w:cstheme="minorHAnsi"/>
          <w:bCs/>
          <w:kern w:val="0"/>
          <w:lang w:eastAsia="en-NZ"/>
          <w14:ligatures w14:val="none"/>
        </w:rPr>
      </w:pPr>
      <w:r w:rsidRPr="00401C01">
        <w:rPr>
          <w:rFonts w:eastAsia="Calibri" w:cstheme="minorHAnsi"/>
          <w:bCs/>
          <w:kern w:val="0"/>
          <w:lang w:eastAsia="en-NZ"/>
          <w14:ligatures w14:val="none"/>
        </w:rPr>
        <w:t>This booklet forms part of the Code and all information related to copyright, document control, acknowledgements and glossary contained in the main Code apply equally to the information in this booklet.</w:t>
      </w:r>
    </w:p>
    <w:p w14:paraId="4A09C7CC" w14:textId="29160132" w:rsidR="00401C01" w:rsidRPr="00401C01" w:rsidRDefault="00401C01" w:rsidP="00401C01">
      <w:pPr>
        <w:spacing w:after="200" w:line="276" w:lineRule="auto"/>
        <w:jc w:val="both"/>
        <w:rPr>
          <w:rFonts w:eastAsia="Calibri" w:cstheme="minorHAnsi"/>
          <w:bCs/>
          <w:kern w:val="0"/>
          <w:lang w:eastAsia="en-NZ"/>
          <w14:ligatures w14:val="none"/>
        </w:rPr>
      </w:pPr>
      <w:r w:rsidRPr="00401C01">
        <w:rPr>
          <w:rFonts w:eastAsia="Calibri" w:cstheme="minorHAnsi"/>
          <w:bCs/>
          <w:kern w:val="0"/>
          <w:lang w:eastAsia="en-NZ"/>
          <w14:ligatures w14:val="none"/>
        </w:rPr>
        <w:t>Other booklets containing support</w:t>
      </w:r>
      <w:r w:rsidR="003C123F">
        <w:rPr>
          <w:rFonts w:eastAsia="Calibri" w:cstheme="minorHAnsi"/>
          <w:bCs/>
          <w:kern w:val="0"/>
          <w:lang w:eastAsia="en-NZ"/>
          <w14:ligatures w14:val="none"/>
        </w:rPr>
        <w:t>ing</w:t>
      </w:r>
      <w:r w:rsidRPr="00401C01">
        <w:rPr>
          <w:rFonts w:eastAsia="Calibri" w:cstheme="minorHAnsi"/>
          <w:bCs/>
          <w:kern w:val="0"/>
          <w:lang w:eastAsia="en-NZ"/>
          <w14:ligatures w14:val="none"/>
        </w:rPr>
        <w:t xml:space="preserve"> information for the Spreadmark Code of Practice are:</w:t>
      </w:r>
    </w:p>
    <w:p w14:paraId="16FD7148" w14:textId="492B4E81" w:rsidR="0042792E" w:rsidRPr="007D544A" w:rsidRDefault="0042792E" w:rsidP="007D544A">
      <w:pPr>
        <w:pStyle w:val="ListParagraph"/>
        <w:spacing w:before="120" w:after="120" w:line="240" w:lineRule="auto"/>
        <w:ind w:left="0"/>
        <w:rPr>
          <w:bCs/>
        </w:rPr>
      </w:pPr>
      <w:r w:rsidRPr="007D544A">
        <w:rPr>
          <w:rFonts w:cstheme="minorHAnsi"/>
          <w:bCs/>
        </w:rPr>
        <w:t>Booklet 1:</w:t>
      </w:r>
      <w:r w:rsidRPr="007D544A">
        <w:rPr>
          <w:rFonts w:cstheme="minorHAnsi"/>
          <w:bCs/>
        </w:rPr>
        <w:tab/>
      </w:r>
      <w:r w:rsidR="004D24E2" w:rsidRPr="007D544A">
        <w:rPr>
          <w:bCs/>
        </w:rPr>
        <w:t>Spreadmark Procedures, Protocols, Policies and Codes.</w:t>
      </w:r>
    </w:p>
    <w:p w14:paraId="3CAB2E62" w14:textId="77777777" w:rsidR="00401C01" w:rsidRPr="00401C01" w:rsidRDefault="00401C01" w:rsidP="007D544A">
      <w:pPr>
        <w:spacing w:before="120" w:after="120" w:line="240" w:lineRule="auto"/>
        <w:ind w:left="1440" w:hanging="1440"/>
        <w:contextualSpacing/>
        <w:rPr>
          <w:rFonts w:eastAsia="Calibri" w:cstheme="minorHAnsi"/>
          <w:bCs/>
          <w:kern w:val="0"/>
          <w:lang w:eastAsia="en-NZ"/>
          <w14:ligatures w14:val="none"/>
        </w:rPr>
      </w:pPr>
      <w:r w:rsidRPr="00401C01">
        <w:rPr>
          <w:rFonts w:eastAsia="Calibri" w:cstheme="minorHAnsi"/>
          <w:bCs/>
          <w:kern w:val="0"/>
          <w:lang w:eastAsia="en-NZ"/>
          <w14:ligatures w14:val="none"/>
        </w:rPr>
        <w:t>Booklet 3:</w:t>
      </w:r>
      <w:r w:rsidRPr="00401C01">
        <w:rPr>
          <w:rFonts w:eastAsia="Calibri" w:cstheme="minorHAnsi"/>
          <w:bCs/>
          <w:kern w:val="0"/>
          <w:lang w:eastAsia="en-NZ"/>
          <w14:ligatures w14:val="none"/>
        </w:rPr>
        <w:tab/>
        <w:t>Technical Specification for the Testing and Certification of Conventional Boom Sprayers Applying Liquid Nutrient.</w:t>
      </w:r>
    </w:p>
    <w:p w14:paraId="0E1F3DF2" w14:textId="74A5598F" w:rsidR="00401C01" w:rsidRPr="00401C01" w:rsidRDefault="00401C01" w:rsidP="007D544A">
      <w:pPr>
        <w:spacing w:before="120" w:after="120" w:line="240" w:lineRule="auto"/>
        <w:ind w:left="1440" w:hanging="1440"/>
        <w:contextualSpacing/>
        <w:rPr>
          <w:rFonts w:eastAsia="Calibri" w:cstheme="minorHAnsi"/>
          <w:bCs/>
          <w:kern w:val="0"/>
          <w:lang w:eastAsia="en-NZ"/>
          <w14:ligatures w14:val="none"/>
        </w:rPr>
      </w:pPr>
      <w:r w:rsidRPr="00401C01">
        <w:rPr>
          <w:rFonts w:eastAsia="Calibri" w:cstheme="minorHAnsi"/>
          <w:bCs/>
          <w:kern w:val="0"/>
          <w:lang w:eastAsia="en-NZ"/>
          <w14:ligatures w14:val="none"/>
        </w:rPr>
        <w:t xml:space="preserve">Booklet 4: </w:t>
      </w:r>
      <w:r w:rsidRPr="00401C01">
        <w:rPr>
          <w:rFonts w:eastAsia="Calibri" w:cstheme="minorHAnsi"/>
          <w:bCs/>
          <w:kern w:val="0"/>
          <w:lang w:eastAsia="en-NZ"/>
          <w14:ligatures w14:val="none"/>
        </w:rPr>
        <w:tab/>
        <w:t xml:space="preserve">Spread </w:t>
      </w:r>
      <w:r w:rsidR="00AD20A9">
        <w:rPr>
          <w:rFonts w:eastAsia="Calibri" w:cstheme="minorHAnsi"/>
          <w:bCs/>
          <w:kern w:val="0"/>
          <w:lang w:eastAsia="en-NZ"/>
          <w14:ligatures w14:val="none"/>
        </w:rPr>
        <w:t>P</w:t>
      </w:r>
      <w:r w:rsidRPr="00401C01">
        <w:rPr>
          <w:rFonts w:eastAsia="Calibri" w:cstheme="minorHAnsi"/>
          <w:bCs/>
          <w:kern w:val="0"/>
          <w:lang w:eastAsia="en-NZ"/>
          <w14:ligatures w14:val="none"/>
        </w:rPr>
        <w:t xml:space="preserve">attern Testing and </w:t>
      </w:r>
      <w:r w:rsidR="00D45549">
        <w:rPr>
          <w:rFonts w:eastAsia="Calibri" w:cstheme="minorHAnsi"/>
          <w:bCs/>
          <w:kern w:val="0"/>
          <w:lang w:eastAsia="en-NZ"/>
          <w14:ligatures w14:val="none"/>
        </w:rPr>
        <w:t>Certification</w:t>
      </w:r>
      <w:r w:rsidRPr="00401C01">
        <w:rPr>
          <w:rFonts w:eastAsia="Calibri" w:cstheme="minorHAnsi"/>
          <w:bCs/>
          <w:kern w:val="0"/>
          <w:lang w:eastAsia="en-NZ"/>
          <w14:ligatures w14:val="none"/>
        </w:rPr>
        <w:t xml:space="preserve"> for </w:t>
      </w:r>
      <w:r w:rsidR="000A2A08">
        <w:rPr>
          <w:rFonts w:eastAsia="Calibri" w:cstheme="minorHAnsi"/>
          <w:bCs/>
          <w:kern w:val="0"/>
          <w:lang w:eastAsia="en-NZ"/>
          <w14:ligatures w14:val="none"/>
        </w:rPr>
        <w:t xml:space="preserve">Fixed Wing </w:t>
      </w:r>
      <w:r w:rsidRPr="00401C01">
        <w:rPr>
          <w:rFonts w:eastAsia="Calibri" w:cstheme="minorHAnsi"/>
          <w:bCs/>
          <w:kern w:val="0"/>
          <w:lang w:eastAsia="en-NZ"/>
          <w14:ligatures w14:val="none"/>
        </w:rPr>
        <w:t>Aerial Application</w:t>
      </w:r>
      <w:r w:rsidR="00CC5101">
        <w:rPr>
          <w:rFonts w:eastAsia="Calibri" w:cstheme="minorHAnsi"/>
          <w:bCs/>
          <w:kern w:val="0"/>
          <w:lang w:eastAsia="en-NZ"/>
          <w14:ligatures w14:val="none"/>
        </w:rPr>
        <w:t xml:space="preserve"> of </w:t>
      </w:r>
      <w:r w:rsidR="00D01350">
        <w:rPr>
          <w:rFonts w:eastAsia="Calibri" w:cstheme="minorHAnsi"/>
          <w:bCs/>
          <w:kern w:val="0"/>
          <w:lang w:eastAsia="en-NZ"/>
          <w14:ligatures w14:val="none"/>
        </w:rPr>
        <w:t xml:space="preserve">Solid </w:t>
      </w:r>
      <w:r w:rsidR="00CC5101">
        <w:rPr>
          <w:rFonts w:eastAsia="Calibri" w:cstheme="minorHAnsi"/>
          <w:bCs/>
          <w:kern w:val="0"/>
          <w:lang w:eastAsia="en-NZ"/>
          <w14:ligatures w14:val="none"/>
        </w:rPr>
        <w:t>Nutrients</w:t>
      </w:r>
      <w:r w:rsidRPr="00401C01">
        <w:rPr>
          <w:rFonts w:eastAsia="Calibri" w:cstheme="minorHAnsi"/>
          <w:bCs/>
          <w:kern w:val="0"/>
          <w:lang w:eastAsia="en-NZ"/>
          <w14:ligatures w14:val="none"/>
        </w:rPr>
        <w:t>.</w:t>
      </w:r>
    </w:p>
    <w:p w14:paraId="0E2E5ECF" w14:textId="77777777" w:rsidR="00CB0CB4" w:rsidRDefault="00CB0CB4" w:rsidP="00CB0CB4">
      <w:pPr>
        <w:spacing w:after="200" w:line="276" w:lineRule="auto"/>
        <w:jc w:val="both"/>
        <w:rPr>
          <w:rFonts w:eastAsia="Arial" w:cstheme="minorHAnsi"/>
          <w:kern w:val="0"/>
          <w:lang w:eastAsia="en-NZ"/>
          <w14:ligatures w14:val="none"/>
        </w:rPr>
      </w:pPr>
    </w:p>
    <w:p w14:paraId="51437D7C" w14:textId="59771953" w:rsidR="00CB0CB4" w:rsidRPr="00CB0CB4" w:rsidRDefault="00CB0CB4" w:rsidP="00CB0CB4">
      <w:pPr>
        <w:spacing w:after="200" w:line="276" w:lineRule="auto"/>
        <w:jc w:val="both"/>
        <w:rPr>
          <w:rFonts w:eastAsia="Calibri" w:cstheme="minorHAnsi"/>
          <w:bCs/>
          <w:kern w:val="0"/>
          <w:lang w:eastAsia="en-NZ"/>
          <w14:ligatures w14:val="none"/>
        </w:rPr>
      </w:pPr>
      <w:r w:rsidRPr="00CB0CB4">
        <w:rPr>
          <w:rFonts w:eastAsia="Arial" w:cstheme="minorHAnsi"/>
          <w:kern w:val="0"/>
          <w:lang w:eastAsia="en-NZ"/>
          <w14:ligatures w14:val="none"/>
        </w:rPr>
        <w:t xml:space="preserve">These booklets are supported by </w:t>
      </w:r>
      <w:r w:rsidR="0057326F">
        <w:rPr>
          <w:rFonts w:eastAsia="Arial" w:cstheme="minorHAnsi"/>
          <w:kern w:val="0"/>
          <w:lang w:eastAsia="en-NZ"/>
          <w14:ligatures w14:val="none"/>
        </w:rPr>
        <w:t>two</w:t>
      </w:r>
      <w:r w:rsidRPr="00CB0CB4">
        <w:rPr>
          <w:rFonts w:eastAsia="Arial" w:cstheme="minorHAnsi"/>
          <w:kern w:val="0"/>
          <w:lang w:eastAsia="en-NZ"/>
          <w14:ligatures w14:val="none"/>
        </w:rPr>
        <w:t xml:space="preserve"> technical documents listed below and found here:  </w:t>
      </w:r>
      <w:hyperlink r:id="rId11" w:history="1">
        <w:r w:rsidRPr="00CB0CB4">
          <w:rPr>
            <w:rFonts w:eastAsia="Arial" w:cstheme="minorHAnsi"/>
            <w:color w:val="0563C1" w:themeColor="hyperlink"/>
            <w:kern w:val="0"/>
            <w:u w:val="single"/>
            <w:lang w:eastAsia="en-NZ"/>
            <w14:ligatures w14:val="none"/>
          </w:rPr>
          <w:t>https://fertqual.co.nz/spreadmark/</w:t>
        </w:r>
      </w:hyperlink>
      <w:r w:rsidRPr="00CB0CB4">
        <w:rPr>
          <w:rFonts w:eastAsia="Arial" w:cstheme="minorHAnsi"/>
          <w:kern w:val="0"/>
          <w:lang w:eastAsia="en-NZ"/>
          <w14:ligatures w14:val="none"/>
        </w:rPr>
        <w:t xml:space="preserve"> </w:t>
      </w:r>
    </w:p>
    <w:p w14:paraId="2531CD79" w14:textId="4210371A" w:rsidR="00CB0CB4" w:rsidRPr="007E32CD" w:rsidRDefault="00CB0CB4" w:rsidP="007E32CD">
      <w:pPr>
        <w:pStyle w:val="ListParagraph"/>
        <w:numPr>
          <w:ilvl w:val="0"/>
          <w:numId w:val="20"/>
        </w:numPr>
        <w:spacing w:after="0" w:line="240" w:lineRule="auto"/>
        <w:rPr>
          <w:rFonts w:eastAsia="Arial" w:cstheme="minorHAnsi"/>
        </w:rPr>
      </w:pPr>
      <w:r w:rsidRPr="007E32CD">
        <w:rPr>
          <w:rFonts w:eastAsia="Arial" w:cstheme="minorHAnsi"/>
        </w:rPr>
        <w:t xml:space="preserve">Nutrient Application Specifications; </w:t>
      </w:r>
      <w:r w:rsidR="00D45549">
        <w:rPr>
          <w:rFonts w:eastAsia="Arial" w:cstheme="minorHAnsi"/>
        </w:rPr>
        <w:t>and</w:t>
      </w:r>
    </w:p>
    <w:p w14:paraId="02A4631E" w14:textId="491373E5" w:rsidR="00CB0CB4" w:rsidRPr="007E32CD" w:rsidRDefault="00CB0CB4" w:rsidP="007E32CD">
      <w:pPr>
        <w:pStyle w:val="ListParagraph"/>
        <w:numPr>
          <w:ilvl w:val="0"/>
          <w:numId w:val="20"/>
        </w:numPr>
        <w:spacing w:after="0" w:line="240" w:lineRule="auto"/>
        <w:rPr>
          <w:rFonts w:eastAsia="Arial" w:cstheme="minorHAnsi"/>
        </w:rPr>
      </w:pPr>
      <w:r w:rsidRPr="007E32CD">
        <w:rPr>
          <w:rFonts w:eastAsia="Arial" w:cstheme="minorHAnsi"/>
        </w:rPr>
        <w:t>Nutrient Physical Properties - General Information</w:t>
      </w:r>
      <w:r w:rsidR="00D45549">
        <w:rPr>
          <w:rFonts w:eastAsia="Arial" w:cstheme="minorHAnsi"/>
        </w:rPr>
        <w:t>.</w:t>
      </w:r>
    </w:p>
    <w:p w14:paraId="4A793EDA" w14:textId="77777777" w:rsidR="00CB0CB4" w:rsidRPr="00CB0CB4" w:rsidRDefault="00CB0CB4" w:rsidP="00CB0CB4">
      <w:pPr>
        <w:spacing w:after="0" w:line="240" w:lineRule="auto"/>
        <w:rPr>
          <w:rFonts w:eastAsia="Arial" w:cstheme="minorHAnsi"/>
          <w:kern w:val="0"/>
          <w:lang w:eastAsia="en-NZ"/>
          <w14:ligatures w14:val="none"/>
        </w:rPr>
      </w:pPr>
    </w:p>
    <w:p w14:paraId="4A0A8624" w14:textId="24DA90A8" w:rsidR="00544775" w:rsidRPr="00544775" w:rsidRDefault="00544775" w:rsidP="00544775">
      <w:pPr>
        <w:spacing w:after="200" w:line="276" w:lineRule="auto"/>
        <w:jc w:val="both"/>
        <w:rPr>
          <w:rFonts w:eastAsia="Calibri" w:cstheme="minorHAnsi"/>
          <w:b/>
          <w:bCs/>
          <w:kern w:val="0"/>
          <w:lang w:eastAsia="en-NZ"/>
          <w14:ligatures w14:val="none"/>
        </w:rPr>
      </w:pPr>
      <w:r w:rsidRPr="00544775">
        <w:rPr>
          <w:rFonts w:eastAsia="Arial" w:cstheme="minorHAnsi"/>
          <w:b/>
          <w:bCs/>
          <w:kern w:val="0"/>
          <w:lang w:eastAsia="en-NZ"/>
          <w14:ligatures w14:val="none"/>
        </w:rPr>
        <w:t xml:space="preserve">Note this booklet deals with solid </w:t>
      </w:r>
      <w:r w:rsidR="00E53074">
        <w:rPr>
          <w:rFonts w:eastAsia="Arial" w:cstheme="minorHAnsi"/>
          <w:b/>
          <w:bCs/>
          <w:kern w:val="0"/>
          <w:lang w:eastAsia="en-NZ"/>
          <w14:ligatures w14:val="none"/>
        </w:rPr>
        <w:t>fertiliser</w:t>
      </w:r>
      <w:r w:rsidRPr="00544775">
        <w:rPr>
          <w:rFonts w:eastAsia="Arial" w:cstheme="minorHAnsi"/>
          <w:b/>
          <w:bCs/>
          <w:kern w:val="0"/>
          <w:lang w:eastAsia="en-NZ"/>
          <w14:ligatures w14:val="none"/>
        </w:rPr>
        <w:t xml:space="preserve"> spread </w:t>
      </w:r>
      <w:r w:rsidR="00961EA1">
        <w:rPr>
          <w:rFonts w:eastAsia="Arial" w:cstheme="minorHAnsi"/>
          <w:b/>
          <w:bCs/>
          <w:kern w:val="0"/>
          <w:lang w:eastAsia="en-NZ"/>
          <w14:ligatures w14:val="none"/>
        </w:rPr>
        <w:t>by ground spreaders, helicopters and UAVs</w:t>
      </w:r>
      <w:r w:rsidRPr="00544775">
        <w:rPr>
          <w:rFonts w:eastAsia="Arial" w:cstheme="minorHAnsi"/>
          <w:b/>
          <w:bCs/>
          <w:kern w:val="0"/>
          <w:lang w:eastAsia="en-NZ"/>
          <w14:ligatures w14:val="none"/>
        </w:rPr>
        <w:t xml:space="preserve">. For </w:t>
      </w:r>
      <w:r w:rsidR="005231C0">
        <w:rPr>
          <w:rFonts w:eastAsia="Arial" w:cstheme="minorHAnsi"/>
          <w:b/>
          <w:bCs/>
          <w:kern w:val="0"/>
          <w:lang w:eastAsia="en-NZ"/>
          <w14:ligatures w14:val="none"/>
        </w:rPr>
        <w:t xml:space="preserve">solid </w:t>
      </w:r>
      <w:r w:rsidR="00007B09">
        <w:rPr>
          <w:rFonts w:eastAsia="Arial" w:cstheme="minorHAnsi"/>
          <w:b/>
          <w:bCs/>
          <w:kern w:val="0"/>
          <w:lang w:eastAsia="en-NZ"/>
          <w14:ligatures w14:val="none"/>
        </w:rPr>
        <w:t>fertiliser</w:t>
      </w:r>
      <w:r w:rsidRPr="00544775">
        <w:rPr>
          <w:rFonts w:eastAsia="Arial" w:cstheme="minorHAnsi"/>
          <w:b/>
          <w:bCs/>
          <w:kern w:val="0"/>
          <w:lang w:eastAsia="en-NZ"/>
          <w14:ligatures w14:val="none"/>
        </w:rPr>
        <w:t xml:space="preserve"> spread</w:t>
      </w:r>
      <w:r w:rsidR="005D4225">
        <w:rPr>
          <w:rFonts w:eastAsia="Arial" w:cstheme="minorHAnsi"/>
          <w:b/>
          <w:bCs/>
          <w:kern w:val="0"/>
          <w:lang w:eastAsia="en-NZ"/>
          <w14:ligatures w14:val="none"/>
        </w:rPr>
        <w:t>ing</w:t>
      </w:r>
      <w:r w:rsidRPr="00544775">
        <w:rPr>
          <w:rFonts w:eastAsia="Arial" w:cstheme="minorHAnsi"/>
          <w:b/>
          <w:bCs/>
          <w:kern w:val="0"/>
          <w:lang w:eastAsia="en-NZ"/>
          <w14:ligatures w14:val="none"/>
        </w:rPr>
        <w:t xml:space="preserve"> using </w:t>
      </w:r>
      <w:r w:rsidR="00766B1F">
        <w:rPr>
          <w:rFonts w:eastAsia="Arial" w:cstheme="minorHAnsi"/>
          <w:b/>
          <w:bCs/>
          <w:kern w:val="0"/>
          <w:lang w:eastAsia="en-NZ"/>
          <w14:ligatures w14:val="none"/>
        </w:rPr>
        <w:t xml:space="preserve">fixed </w:t>
      </w:r>
      <w:r w:rsidR="005A7C36">
        <w:rPr>
          <w:rFonts w:eastAsia="Arial" w:cstheme="minorHAnsi"/>
          <w:b/>
          <w:bCs/>
          <w:kern w:val="0"/>
          <w:lang w:eastAsia="en-NZ"/>
          <w14:ligatures w14:val="none"/>
        </w:rPr>
        <w:t xml:space="preserve">wing </w:t>
      </w:r>
      <w:r w:rsidR="005231C0">
        <w:rPr>
          <w:rFonts w:eastAsia="Arial" w:cstheme="minorHAnsi"/>
          <w:b/>
          <w:bCs/>
          <w:kern w:val="0"/>
          <w:lang w:eastAsia="en-NZ"/>
          <w14:ligatures w14:val="none"/>
        </w:rPr>
        <w:t>aircraft,</w:t>
      </w:r>
      <w:r w:rsidRPr="00544775">
        <w:rPr>
          <w:rFonts w:eastAsia="Arial" w:cstheme="minorHAnsi"/>
          <w:b/>
          <w:bCs/>
          <w:kern w:val="0"/>
          <w:lang w:eastAsia="en-NZ"/>
          <w14:ligatures w14:val="none"/>
        </w:rPr>
        <w:t xml:space="preserve"> refer </w:t>
      </w:r>
      <w:r w:rsidR="000A2A08">
        <w:rPr>
          <w:rFonts w:eastAsia="Arial" w:cstheme="minorHAnsi"/>
          <w:b/>
          <w:bCs/>
          <w:kern w:val="0"/>
          <w:lang w:eastAsia="en-NZ"/>
          <w14:ligatures w14:val="none"/>
        </w:rPr>
        <w:t>b</w:t>
      </w:r>
      <w:r w:rsidRPr="00544775">
        <w:rPr>
          <w:rFonts w:eastAsia="Arial" w:cstheme="minorHAnsi"/>
          <w:b/>
          <w:bCs/>
          <w:kern w:val="0"/>
          <w:lang w:eastAsia="en-NZ"/>
          <w14:ligatures w14:val="none"/>
        </w:rPr>
        <w:t>ooklet</w:t>
      </w:r>
      <w:r w:rsidR="005231C0">
        <w:rPr>
          <w:rFonts w:eastAsia="Arial" w:cstheme="minorHAnsi"/>
          <w:b/>
          <w:bCs/>
          <w:kern w:val="0"/>
          <w:lang w:eastAsia="en-NZ"/>
          <w14:ligatures w14:val="none"/>
        </w:rPr>
        <w:t xml:space="preserve"> four.</w:t>
      </w:r>
    </w:p>
    <w:p w14:paraId="077B03EA" w14:textId="77777777" w:rsidR="00627AE2" w:rsidRDefault="00627AE2" w:rsidP="007B2CB5">
      <w:pPr>
        <w:jc w:val="both"/>
        <w:rPr>
          <w:rFonts w:cstheme="minorHAnsi"/>
          <w:b/>
          <w:bCs/>
          <w:caps/>
          <w:color w:val="000000"/>
          <w:sz w:val="24"/>
          <w:szCs w:val="24"/>
        </w:rPr>
      </w:pPr>
    </w:p>
    <w:p w14:paraId="42A5EC65" w14:textId="6A8E9CB4" w:rsidR="007867DB" w:rsidRPr="00B10111" w:rsidRDefault="00EE6BDE" w:rsidP="00B10111">
      <w:pPr>
        <w:pStyle w:val="ListParagraph"/>
        <w:numPr>
          <w:ilvl w:val="0"/>
          <w:numId w:val="19"/>
        </w:numPr>
        <w:spacing w:before="120" w:after="120" w:line="240" w:lineRule="auto"/>
        <w:jc w:val="both"/>
        <w:rPr>
          <w:rFonts w:eastAsia="Times New Roman" w:cstheme="minorHAnsi"/>
        </w:rPr>
      </w:pPr>
      <w:r w:rsidRPr="00C30644">
        <w:rPr>
          <w:rFonts w:eastAsia="Times New Roman" w:cstheme="minorHAnsi"/>
          <w:b/>
          <w:bCs/>
          <w:color w:val="000000"/>
        </w:rPr>
        <w:t>PERFORMANCE TESTING</w:t>
      </w:r>
    </w:p>
    <w:p w14:paraId="3893BB1F" w14:textId="72485933" w:rsidR="00347454" w:rsidRPr="00347454" w:rsidRDefault="00347454" w:rsidP="00B714F9">
      <w:pPr>
        <w:spacing w:before="120" w:after="240" w:line="240" w:lineRule="auto"/>
        <w:jc w:val="both"/>
        <w:rPr>
          <w:rFonts w:eastAsia="Times New Roman" w:cstheme="minorHAnsi"/>
          <w:b/>
          <w:bCs/>
          <w:color w:val="000000"/>
          <w:kern w:val="0"/>
          <w:lang w:eastAsia="en-NZ"/>
          <w14:ligatures w14:val="none"/>
        </w:rPr>
      </w:pPr>
      <w:r w:rsidRPr="00347454">
        <w:rPr>
          <w:rFonts w:eastAsia="Times New Roman" w:cstheme="minorHAnsi"/>
          <w:b/>
          <w:bCs/>
          <w:color w:val="000000"/>
          <w:kern w:val="0"/>
          <w:lang w:eastAsia="en-NZ"/>
          <w14:ligatures w14:val="none"/>
        </w:rPr>
        <w:t>Principles</w:t>
      </w:r>
    </w:p>
    <w:p w14:paraId="03166C81" w14:textId="445629F0" w:rsidR="007867DB" w:rsidRDefault="00B10111" w:rsidP="00B714F9">
      <w:pPr>
        <w:spacing w:before="120" w:after="240" w:line="240" w:lineRule="auto"/>
        <w:jc w:val="both"/>
        <w:rPr>
          <w:rFonts w:eastAsia="Times New Roman" w:cstheme="minorHAnsi"/>
          <w:color w:val="000000"/>
          <w:kern w:val="0"/>
          <w:lang w:eastAsia="en-NZ"/>
          <w14:ligatures w14:val="none"/>
        </w:rPr>
      </w:pPr>
      <w:r>
        <w:rPr>
          <w:rFonts w:eastAsia="Times New Roman" w:cstheme="minorHAnsi"/>
          <w:color w:val="000000"/>
          <w:kern w:val="0"/>
          <w:lang w:eastAsia="en-NZ"/>
          <w14:ligatures w14:val="none"/>
        </w:rPr>
        <w:t xml:space="preserve">Section 5.1 of the Spreadmark Code of Practice </w:t>
      </w:r>
      <w:r w:rsidR="00607318">
        <w:rPr>
          <w:rFonts w:eastAsia="Times New Roman" w:cstheme="minorHAnsi"/>
          <w:color w:val="000000"/>
          <w:kern w:val="0"/>
          <w:lang w:eastAsia="en-NZ"/>
          <w14:ligatures w14:val="none"/>
        </w:rPr>
        <w:t>lists a series of</w:t>
      </w:r>
      <w:r w:rsidR="007867DB">
        <w:rPr>
          <w:rFonts w:eastAsia="Times New Roman" w:cstheme="minorHAnsi"/>
          <w:color w:val="000000"/>
          <w:kern w:val="0"/>
          <w:lang w:eastAsia="en-NZ"/>
          <w14:ligatures w14:val="none"/>
        </w:rPr>
        <w:t xml:space="preserve"> principles </w:t>
      </w:r>
      <w:r w:rsidR="001D57C8">
        <w:rPr>
          <w:rFonts w:eastAsia="Times New Roman" w:cstheme="minorHAnsi"/>
          <w:color w:val="000000"/>
          <w:kern w:val="0"/>
          <w:lang w:eastAsia="en-NZ"/>
          <w14:ligatures w14:val="none"/>
        </w:rPr>
        <w:t>for spreader certification</w:t>
      </w:r>
      <w:r w:rsidR="001730A8">
        <w:rPr>
          <w:rFonts w:eastAsia="Times New Roman" w:cstheme="minorHAnsi"/>
          <w:color w:val="000000"/>
          <w:kern w:val="0"/>
          <w:lang w:eastAsia="en-NZ"/>
          <w14:ligatures w14:val="none"/>
        </w:rPr>
        <w:t xml:space="preserve">. </w:t>
      </w:r>
      <w:r w:rsidR="006E7155">
        <w:rPr>
          <w:rFonts w:eastAsia="Times New Roman" w:cstheme="minorHAnsi"/>
          <w:color w:val="000000"/>
          <w:kern w:val="0"/>
          <w:lang w:eastAsia="en-NZ"/>
          <w14:ligatures w14:val="none"/>
        </w:rPr>
        <w:t>These include:</w:t>
      </w:r>
    </w:p>
    <w:p w14:paraId="69848BED" w14:textId="4B777565" w:rsidR="0031143A" w:rsidRPr="0031143A" w:rsidRDefault="0031143A" w:rsidP="006E7155">
      <w:pPr>
        <w:pStyle w:val="ListParagraph"/>
        <w:numPr>
          <w:ilvl w:val="0"/>
          <w:numId w:val="21"/>
        </w:numPr>
        <w:spacing w:before="120" w:after="240" w:line="240" w:lineRule="auto"/>
        <w:jc w:val="both"/>
        <w:rPr>
          <w:rFonts w:eastAsia="Times New Roman" w:cstheme="minorHAnsi"/>
          <w:color w:val="000000"/>
        </w:rPr>
      </w:pPr>
      <w:r w:rsidRPr="0017296C">
        <w:rPr>
          <w:rFonts w:asciiTheme="majorHAnsi" w:eastAsia="Arial" w:hAnsiTheme="majorHAnsi" w:cstheme="majorHAnsi"/>
        </w:rPr>
        <w:t xml:space="preserve">The spreader test procedure allows each spreader </w:t>
      </w:r>
      <w:r w:rsidR="0023151E">
        <w:rPr>
          <w:rFonts w:asciiTheme="majorHAnsi" w:eastAsia="Arial" w:hAnsiTheme="majorHAnsi" w:cstheme="majorHAnsi"/>
        </w:rPr>
        <w:t xml:space="preserve">unit </w:t>
      </w:r>
      <w:r w:rsidRPr="0017296C">
        <w:rPr>
          <w:rFonts w:asciiTheme="majorHAnsi" w:eastAsia="Arial" w:hAnsiTheme="majorHAnsi" w:cstheme="majorHAnsi"/>
        </w:rPr>
        <w:t>to be characterised so it can be set to accommodate variable nutrient characteristics</w:t>
      </w:r>
      <w:r>
        <w:rPr>
          <w:rFonts w:asciiTheme="majorHAnsi" w:eastAsia="Arial" w:hAnsiTheme="majorHAnsi" w:cstheme="majorHAnsi"/>
        </w:rPr>
        <w:t>;</w:t>
      </w:r>
    </w:p>
    <w:p w14:paraId="6D54E534" w14:textId="0C09A827" w:rsidR="00B519C2" w:rsidRPr="00FA0D55" w:rsidRDefault="00B519C2" w:rsidP="006E7155">
      <w:pPr>
        <w:pStyle w:val="ListParagraph"/>
        <w:numPr>
          <w:ilvl w:val="0"/>
          <w:numId w:val="21"/>
        </w:numPr>
        <w:spacing w:before="120" w:after="240" w:line="240" w:lineRule="auto"/>
        <w:jc w:val="both"/>
        <w:rPr>
          <w:rFonts w:eastAsia="Times New Roman" w:cstheme="minorHAnsi"/>
          <w:color w:val="000000"/>
        </w:rPr>
      </w:pPr>
      <w:r w:rsidRPr="006E7155">
        <w:rPr>
          <w:rFonts w:asciiTheme="majorHAnsi" w:eastAsia="Arial" w:hAnsiTheme="majorHAnsi" w:cstheme="majorHAnsi"/>
        </w:rPr>
        <w:t>The test procedure has been linked to international methods and practice, adapted to New Zealand conditions</w:t>
      </w:r>
      <w:r w:rsidR="00FA0D55">
        <w:rPr>
          <w:rFonts w:asciiTheme="majorHAnsi" w:eastAsia="Arial" w:hAnsiTheme="majorHAnsi" w:cstheme="majorHAnsi"/>
        </w:rPr>
        <w:t>;</w:t>
      </w:r>
    </w:p>
    <w:p w14:paraId="23C11C14" w14:textId="77777777" w:rsidR="000C7F4F" w:rsidRDefault="0017296C" w:rsidP="0017296C">
      <w:pPr>
        <w:pStyle w:val="ListParagraph"/>
        <w:numPr>
          <w:ilvl w:val="0"/>
          <w:numId w:val="21"/>
        </w:numPr>
        <w:spacing w:before="120" w:after="240" w:line="240" w:lineRule="auto"/>
        <w:jc w:val="both"/>
        <w:rPr>
          <w:rFonts w:asciiTheme="majorHAnsi" w:eastAsia="Arial" w:hAnsiTheme="majorHAnsi" w:cstheme="majorHAnsi"/>
        </w:rPr>
      </w:pPr>
      <w:r w:rsidRPr="0017296C">
        <w:rPr>
          <w:rFonts w:asciiTheme="majorHAnsi" w:eastAsia="Arial" w:hAnsiTheme="majorHAnsi" w:cstheme="majorHAnsi"/>
        </w:rPr>
        <w:t>Both indoor and outdoor testing is permitted for ground spreading units</w:t>
      </w:r>
      <w:r w:rsidR="000C7F4F">
        <w:rPr>
          <w:rFonts w:asciiTheme="majorHAnsi" w:eastAsia="Arial" w:hAnsiTheme="majorHAnsi" w:cstheme="majorHAnsi"/>
        </w:rPr>
        <w:t>;</w:t>
      </w:r>
    </w:p>
    <w:p w14:paraId="76374D47" w14:textId="77777777" w:rsidR="000C7F4F" w:rsidRDefault="0017296C" w:rsidP="0017296C">
      <w:pPr>
        <w:pStyle w:val="ListParagraph"/>
        <w:numPr>
          <w:ilvl w:val="0"/>
          <w:numId w:val="21"/>
        </w:numPr>
        <w:spacing w:before="120" w:after="240" w:line="240" w:lineRule="auto"/>
        <w:jc w:val="both"/>
        <w:rPr>
          <w:rFonts w:asciiTheme="majorHAnsi" w:eastAsia="Arial" w:hAnsiTheme="majorHAnsi" w:cstheme="majorHAnsi"/>
        </w:rPr>
      </w:pPr>
      <w:r w:rsidRPr="0017296C">
        <w:rPr>
          <w:rFonts w:asciiTheme="majorHAnsi" w:eastAsia="Arial" w:hAnsiTheme="majorHAnsi" w:cstheme="majorHAnsi"/>
        </w:rPr>
        <w:t>For outdoor testing, requirements for wind speed and direction, angle of slope and nature of surface shall be set</w:t>
      </w:r>
      <w:r w:rsidR="000C7F4F">
        <w:rPr>
          <w:rFonts w:asciiTheme="majorHAnsi" w:eastAsia="Arial" w:hAnsiTheme="majorHAnsi" w:cstheme="majorHAnsi"/>
        </w:rPr>
        <w:t>;</w:t>
      </w:r>
    </w:p>
    <w:p w14:paraId="1989A336" w14:textId="77777777" w:rsidR="00FD5E8E" w:rsidRDefault="0017296C" w:rsidP="00FD5E8E">
      <w:pPr>
        <w:pStyle w:val="ListParagraph"/>
        <w:numPr>
          <w:ilvl w:val="0"/>
          <w:numId w:val="21"/>
        </w:numPr>
        <w:spacing w:before="120" w:after="240" w:line="240" w:lineRule="auto"/>
        <w:jc w:val="both"/>
        <w:rPr>
          <w:rFonts w:asciiTheme="majorHAnsi" w:eastAsia="Arial" w:hAnsiTheme="majorHAnsi" w:cstheme="majorHAnsi"/>
        </w:rPr>
      </w:pPr>
      <w:r w:rsidRPr="0017296C">
        <w:rPr>
          <w:rFonts w:asciiTheme="majorHAnsi" w:eastAsia="Arial" w:hAnsiTheme="majorHAnsi" w:cstheme="majorHAnsi"/>
        </w:rPr>
        <w:t>Outdoor testing shall be carried out in a way that does not cause environmental contamination by overloading the test site</w:t>
      </w:r>
      <w:r w:rsidR="000C7F4F">
        <w:rPr>
          <w:rFonts w:asciiTheme="majorHAnsi" w:eastAsia="Arial" w:hAnsiTheme="majorHAnsi" w:cstheme="majorHAnsi"/>
        </w:rPr>
        <w:t>;</w:t>
      </w:r>
    </w:p>
    <w:p w14:paraId="5EED4360" w14:textId="77777777" w:rsidR="008407D5" w:rsidRDefault="0017296C" w:rsidP="008407D5">
      <w:pPr>
        <w:pStyle w:val="ListParagraph"/>
        <w:numPr>
          <w:ilvl w:val="0"/>
          <w:numId w:val="21"/>
        </w:numPr>
        <w:spacing w:before="120" w:after="240" w:line="240" w:lineRule="auto"/>
        <w:jc w:val="both"/>
        <w:rPr>
          <w:rFonts w:asciiTheme="majorHAnsi" w:eastAsia="Arial" w:hAnsiTheme="majorHAnsi" w:cstheme="majorHAnsi"/>
        </w:rPr>
      </w:pPr>
      <w:r w:rsidRPr="00FD5E8E">
        <w:rPr>
          <w:rFonts w:asciiTheme="majorHAnsi" w:eastAsia="Arial" w:hAnsiTheme="majorHAnsi" w:cstheme="majorHAnsi"/>
        </w:rPr>
        <w:t xml:space="preserve">The evenness of nutrient spreading </w:t>
      </w:r>
      <w:r w:rsidR="00196128">
        <w:rPr>
          <w:rFonts w:asciiTheme="majorHAnsi" w:eastAsia="Arial" w:hAnsiTheme="majorHAnsi" w:cstheme="majorHAnsi"/>
        </w:rPr>
        <w:t>both across and along the direction of spreader travel is important and</w:t>
      </w:r>
      <w:r w:rsidR="008407D5">
        <w:rPr>
          <w:rFonts w:asciiTheme="majorHAnsi" w:eastAsia="Arial" w:hAnsiTheme="majorHAnsi" w:cstheme="majorHAnsi"/>
        </w:rPr>
        <w:t xml:space="preserve"> </w:t>
      </w:r>
      <w:r w:rsidRPr="00FD5E8E">
        <w:rPr>
          <w:rFonts w:asciiTheme="majorHAnsi" w:eastAsia="Arial" w:hAnsiTheme="majorHAnsi" w:cstheme="majorHAnsi"/>
        </w:rPr>
        <w:t>shall be expressed as a Coefficient of Variation</w:t>
      </w:r>
      <w:r w:rsidR="008407D5">
        <w:rPr>
          <w:rFonts w:asciiTheme="majorHAnsi" w:eastAsia="Arial" w:hAnsiTheme="majorHAnsi" w:cstheme="majorHAnsi"/>
        </w:rPr>
        <w:t>;</w:t>
      </w:r>
    </w:p>
    <w:p w14:paraId="2CC4C1ED" w14:textId="29DE9FC4" w:rsidR="0017296C" w:rsidRDefault="0017296C" w:rsidP="008407D5">
      <w:pPr>
        <w:pStyle w:val="ListParagraph"/>
        <w:numPr>
          <w:ilvl w:val="0"/>
          <w:numId w:val="21"/>
        </w:numPr>
        <w:spacing w:before="120" w:after="240" w:line="240" w:lineRule="auto"/>
        <w:jc w:val="both"/>
        <w:rPr>
          <w:rFonts w:asciiTheme="majorHAnsi" w:eastAsia="Arial" w:hAnsiTheme="majorHAnsi" w:cstheme="majorHAnsi"/>
        </w:rPr>
      </w:pPr>
      <w:r w:rsidRPr="008407D5">
        <w:rPr>
          <w:rFonts w:asciiTheme="majorHAnsi" w:eastAsia="Arial" w:hAnsiTheme="majorHAnsi" w:cstheme="majorHAnsi"/>
        </w:rPr>
        <w:lastRenderedPageBreak/>
        <w:t>To be Spreadmark Registered, application units must satisfy the performance standard for transverse CV% of 15% for</w:t>
      </w:r>
      <w:r w:rsidR="00525B7B">
        <w:rPr>
          <w:rFonts w:asciiTheme="majorHAnsi" w:eastAsia="Arial" w:hAnsiTheme="majorHAnsi" w:cstheme="majorHAnsi"/>
        </w:rPr>
        <w:t xml:space="preserve"> nitrogenous nutrients </w:t>
      </w:r>
      <w:r w:rsidRPr="008407D5">
        <w:rPr>
          <w:rFonts w:asciiTheme="majorHAnsi" w:eastAsia="Arial" w:hAnsiTheme="majorHAnsi" w:cstheme="majorHAnsi"/>
        </w:rPr>
        <w:t>and 25% for all other products</w:t>
      </w:r>
      <w:r w:rsidR="008407D5">
        <w:rPr>
          <w:rFonts w:asciiTheme="majorHAnsi" w:eastAsia="Arial" w:hAnsiTheme="majorHAnsi" w:cstheme="majorHAnsi"/>
        </w:rPr>
        <w:t>;</w:t>
      </w:r>
    </w:p>
    <w:p w14:paraId="13506510" w14:textId="7D74D8FA" w:rsidR="0017296C" w:rsidRPr="0017296C" w:rsidRDefault="0017296C" w:rsidP="0017296C">
      <w:pPr>
        <w:pStyle w:val="ListParagraph"/>
        <w:numPr>
          <w:ilvl w:val="0"/>
          <w:numId w:val="21"/>
        </w:numPr>
        <w:spacing w:before="120" w:after="240" w:line="240" w:lineRule="auto"/>
        <w:jc w:val="both"/>
        <w:rPr>
          <w:rFonts w:asciiTheme="majorHAnsi" w:eastAsia="Arial" w:hAnsiTheme="majorHAnsi" w:cstheme="majorHAnsi"/>
        </w:rPr>
      </w:pPr>
      <w:r w:rsidRPr="0017296C">
        <w:rPr>
          <w:rFonts w:asciiTheme="majorHAnsi" w:eastAsia="Arial" w:hAnsiTheme="majorHAnsi" w:cstheme="majorHAnsi"/>
        </w:rPr>
        <w:t xml:space="preserve">Spreading units shall be tested on a sufficiently wide range of nutrients to provide a guide to the maximum safe bout width for the range of </w:t>
      </w:r>
      <w:r w:rsidR="006861CF" w:rsidRPr="0017296C">
        <w:rPr>
          <w:rFonts w:asciiTheme="majorHAnsi" w:eastAsia="Arial" w:hAnsiTheme="majorHAnsi" w:cstheme="majorHAnsi"/>
        </w:rPr>
        <w:t>products the</w:t>
      </w:r>
      <w:r w:rsidRPr="0017296C">
        <w:rPr>
          <w:rFonts w:asciiTheme="majorHAnsi" w:eastAsia="Arial" w:hAnsiTheme="majorHAnsi" w:cstheme="majorHAnsi"/>
        </w:rPr>
        <w:t xml:space="preserve"> spreader distributes</w:t>
      </w:r>
      <w:r w:rsidR="006861CF">
        <w:rPr>
          <w:rFonts w:asciiTheme="majorHAnsi" w:eastAsia="Arial" w:hAnsiTheme="majorHAnsi" w:cstheme="majorHAnsi"/>
        </w:rPr>
        <w:t>;</w:t>
      </w:r>
      <w:r w:rsidRPr="0017296C">
        <w:rPr>
          <w:rFonts w:asciiTheme="majorHAnsi" w:eastAsia="Arial" w:hAnsiTheme="majorHAnsi" w:cstheme="majorHAnsi"/>
        </w:rPr>
        <w:t xml:space="preserve"> </w:t>
      </w:r>
    </w:p>
    <w:p w14:paraId="6AD62EF9" w14:textId="77777777" w:rsidR="002F036F" w:rsidRDefault="0017296C" w:rsidP="002F036F">
      <w:pPr>
        <w:pStyle w:val="ListParagraph"/>
        <w:numPr>
          <w:ilvl w:val="0"/>
          <w:numId w:val="21"/>
        </w:numPr>
        <w:spacing w:before="120" w:after="240" w:line="240" w:lineRule="auto"/>
        <w:jc w:val="both"/>
        <w:rPr>
          <w:rFonts w:asciiTheme="majorHAnsi" w:eastAsia="Arial" w:hAnsiTheme="majorHAnsi" w:cstheme="majorHAnsi"/>
        </w:rPr>
      </w:pPr>
      <w:r w:rsidRPr="0017296C">
        <w:rPr>
          <w:rFonts w:asciiTheme="majorHAnsi" w:eastAsia="Arial" w:hAnsiTheme="majorHAnsi" w:cstheme="majorHAnsi"/>
        </w:rPr>
        <w:t xml:space="preserve">Spreader certification testing shall be done at </w:t>
      </w:r>
      <w:r w:rsidR="006861CF">
        <w:rPr>
          <w:rFonts w:asciiTheme="majorHAnsi" w:eastAsia="Arial" w:hAnsiTheme="majorHAnsi" w:cstheme="majorHAnsi"/>
        </w:rPr>
        <w:t>regular intervals as prescribed in the Spreadmark Code of Practice;</w:t>
      </w:r>
    </w:p>
    <w:p w14:paraId="7C209F16" w14:textId="77777777" w:rsidR="00E04CC6" w:rsidRDefault="0017296C" w:rsidP="0017296C">
      <w:pPr>
        <w:pStyle w:val="ListParagraph"/>
        <w:numPr>
          <w:ilvl w:val="0"/>
          <w:numId w:val="21"/>
        </w:numPr>
        <w:spacing w:before="120" w:after="240" w:line="240" w:lineRule="auto"/>
        <w:jc w:val="both"/>
        <w:rPr>
          <w:rFonts w:asciiTheme="majorHAnsi" w:eastAsia="Arial" w:hAnsiTheme="majorHAnsi" w:cstheme="majorHAnsi"/>
        </w:rPr>
      </w:pPr>
      <w:r w:rsidRPr="0017296C">
        <w:rPr>
          <w:rFonts w:asciiTheme="majorHAnsi" w:eastAsia="Arial" w:hAnsiTheme="majorHAnsi" w:cstheme="majorHAnsi"/>
        </w:rPr>
        <w:t>Every certified spreader shall have, a unique identification number</w:t>
      </w:r>
      <w:r w:rsidR="00E04CC6">
        <w:rPr>
          <w:rFonts w:asciiTheme="majorHAnsi" w:eastAsia="Arial" w:hAnsiTheme="majorHAnsi" w:cstheme="majorHAnsi"/>
        </w:rPr>
        <w:t>;</w:t>
      </w:r>
    </w:p>
    <w:p w14:paraId="678FA714" w14:textId="6478D0D4" w:rsidR="0017296C" w:rsidRPr="0017296C" w:rsidRDefault="0017296C" w:rsidP="0017296C">
      <w:pPr>
        <w:pStyle w:val="ListParagraph"/>
        <w:numPr>
          <w:ilvl w:val="0"/>
          <w:numId w:val="21"/>
        </w:numPr>
        <w:spacing w:before="120" w:after="240" w:line="240" w:lineRule="auto"/>
        <w:jc w:val="both"/>
        <w:rPr>
          <w:rFonts w:asciiTheme="majorHAnsi" w:eastAsia="Arial" w:hAnsiTheme="majorHAnsi" w:cstheme="majorHAnsi"/>
        </w:rPr>
      </w:pPr>
      <w:r w:rsidRPr="0017296C">
        <w:rPr>
          <w:rFonts w:asciiTheme="majorHAnsi" w:eastAsia="Arial" w:hAnsiTheme="majorHAnsi" w:cstheme="majorHAnsi"/>
        </w:rPr>
        <w:t xml:space="preserve">For </w:t>
      </w:r>
      <w:r w:rsidR="00CA692B">
        <w:rPr>
          <w:rFonts w:asciiTheme="majorHAnsi" w:eastAsia="Arial" w:hAnsiTheme="majorHAnsi" w:cstheme="majorHAnsi"/>
        </w:rPr>
        <w:t>g</w:t>
      </w:r>
      <w:r w:rsidRPr="0017296C">
        <w:rPr>
          <w:rFonts w:asciiTheme="majorHAnsi" w:eastAsia="Arial" w:hAnsiTheme="majorHAnsi" w:cstheme="majorHAnsi"/>
        </w:rPr>
        <w:t>roundspread vehicles spreader certification lapses if the bin changes to another vehicle</w:t>
      </w:r>
      <w:r w:rsidR="00E04CC6">
        <w:rPr>
          <w:rFonts w:asciiTheme="majorHAnsi" w:eastAsia="Arial" w:hAnsiTheme="majorHAnsi" w:cstheme="majorHAnsi"/>
        </w:rPr>
        <w:t>;</w:t>
      </w:r>
    </w:p>
    <w:p w14:paraId="6681C196" w14:textId="30FAA5D2" w:rsidR="00B519C2" w:rsidRPr="00951978" w:rsidRDefault="0017296C" w:rsidP="00951978">
      <w:pPr>
        <w:pStyle w:val="ListParagraph"/>
        <w:numPr>
          <w:ilvl w:val="0"/>
          <w:numId w:val="21"/>
        </w:numPr>
        <w:spacing w:before="120" w:after="240" w:line="240" w:lineRule="auto"/>
        <w:jc w:val="both"/>
        <w:rPr>
          <w:rFonts w:asciiTheme="majorHAnsi" w:eastAsia="Arial" w:hAnsiTheme="majorHAnsi" w:cstheme="majorHAnsi"/>
        </w:rPr>
      </w:pPr>
      <w:r w:rsidRPr="0017296C">
        <w:rPr>
          <w:rFonts w:asciiTheme="majorHAnsi" w:eastAsia="Arial" w:hAnsiTheme="majorHAnsi" w:cstheme="majorHAnsi"/>
        </w:rPr>
        <w:t>When spreaders are sold from a Spreadmark registered company to another Spreadmark registered company, the current Spreadmark Test Certificates can be transferred to the new owner</w:t>
      </w:r>
      <w:r w:rsidR="00951978">
        <w:rPr>
          <w:rFonts w:asciiTheme="majorHAnsi" w:eastAsia="Arial" w:hAnsiTheme="majorHAnsi" w:cstheme="majorHAnsi"/>
        </w:rPr>
        <w:t>. If the sale is</w:t>
      </w:r>
      <w:r w:rsidRPr="00951978">
        <w:rPr>
          <w:rFonts w:asciiTheme="majorHAnsi" w:eastAsia="Arial" w:hAnsiTheme="majorHAnsi" w:cstheme="majorHAnsi"/>
        </w:rPr>
        <w:t xml:space="preserve"> to a non-Spreadmark registered </w:t>
      </w:r>
      <w:proofErr w:type="gramStart"/>
      <w:r w:rsidRPr="00951978">
        <w:rPr>
          <w:rFonts w:asciiTheme="majorHAnsi" w:eastAsia="Arial" w:hAnsiTheme="majorHAnsi" w:cstheme="majorHAnsi"/>
        </w:rPr>
        <w:t>company</w:t>
      </w:r>
      <w:proofErr w:type="gramEnd"/>
      <w:r w:rsidRPr="00951978">
        <w:rPr>
          <w:rFonts w:asciiTheme="majorHAnsi" w:eastAsia="Arial" w:hAnsiTheme="majorHAnsi" w:cstheme="majorHAnsi"/>
        </w:rPr>
        <w:t xml:space="preserve"> then the certificates lapse.</w:t>
      </w:r>
      <w:bookmarkStart w:id="0" w:name="_bcwe2qypb8r2" w:colFirst="0" w:colLast="0"/>
      <w:bookmarkEnd w:id="0"/>
    </w:p>
    <w:p w14:paraId="0DC84994" w14:textId="33F7D31A" w:rsidR="00347454" w:rsidRPr="00347454" w:rsidRDefault="00347454" w:rsidP="00B714F9">
      <w:pPr>
        <w:spacing w:before="120" w:after="240" w:line="240" w:lineRule="auto"/>
        <w:jc w:val="both"/>
        <w:rPr>
          <w:rFonts w:eastAsia="Times New Roman" w:cstheme="minorHAnsi"/>
          <w:b/>
          <w:bCs/>
          <w:color w:val="000000"/>
          <w:kern w:val="0"/>
          <w:lang w:eastAsia="en-NZ"/>
          <w14:ligatures w14:val="none"/>
        </w:rPr>
      </w:pPr>
      <w:r w:rsidRPr="00347454">
        <w:rPr>
          <w:rFonts w:eastAsia="Times New Roman" w:cstheme="minorHAnsi"/>
          <w:b/>
          <w:bCs/>
          <w:color w:val="000000"/>
          <w:kern w:val="0"/>
          <w:lang w:eastAsia="en-NZ"/>
          <w14:ligatures w14:val="none"/>
        </w:rPr>
        <w:t>Testing</w:t>
      </w:r>
    </w:p>
    <w:p w14:paraId="5FB7CBAF" w14:textId="5C92FB87" w:rsidR="005A33FA" w:rsidRPr="00B714F9" w:rsidRDefault="005A33FA" w:rsidP="00B714F9">
      <w:pPr>
        <w:spacing w:before="120" w:after="2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There are two primary factors that determine whether nutrient is applied evenly and at the correct rate</w:t>
      </w:r>
      <w:r w:rsidR="000C29AB">
        <w:rPr>
          <w:rFonts w:eastAsia="Times New Roman" w:cstheme="minorHAnsi"/>
          <w:color w:val="000000"/>
          <w:kern w:val="0"/>
          <w:lang w:eastAsia="en-NZ"/>
          <w14:ligatures w14:val="none"/>
        </w:rPr>
        <w:t>:</w:t>
      </w:r>
      <w:r w:rsidRPr="00B714F9">
        <w:rPr>
          <w:rFonts w:eastAsia="Times New Roman" w:cstheme="minorHAnsi"/>
          <w:color w:val="000000"/>
          <w:kern w:val="0"/>
          <w:lang w:eastAsia="en-NZ"/>
          <w14:ligatures w14:val="none"/>
        </w:rPr>
        <w:t xml:space="preserve"> the performance of the spreading </w:t>
      </w:r>
      <w:r w:rsidR="001F3EE7">
        <w:rPr>
          <w:rFonts w:eastAsia="Times New Roman" w:cstheme="minorHAnsi"/>
          <w:color w:val="000000"/>
          <w:kern w:val="0"/>
          <w:lang w:eastAsia="en-NZ"/>
          <w14:ligatures w14:val="none"/>
        </w:rPr>
        <w:t>unit</w:t>
      </w:r>
      <w:r w:rsidR="00EE756F">
        <w:rPr>
          <w:rFonts w:eastAsia="Times New Roman" w:cstheme="minorHAnsi"/>
          <w:color w:val="000000"/>
          <w:kern w:val="0"/>
          <w:lang w:eastAsia="en-NZ"/>
          <w14:ligatures w14:val="none"/>
        </w:rPr>
        <w:t>;</w:t>
      </w:r>
      <w:r w:rsidRPr="00B714F9">
        <w:rPr>
          <w:rFonts w:eastAsia="Times New Roman" w:cstheme="minorHAnsi"/>
          <w:color w:val="000000"/>
          <w:kern w:val="0"/>
          <w:lang w:eastAsia="en-NZ"/>
          <w14:ligatures w14:val="none"/>
        </w:rPr>
        <w:t xml:space="preserve"> and the nutrient flow rate to that spreading </w:t>
      </w:r>
      <w:r w:rsidR="001F3EE7">
        <w:rPr>
          <w:rFonts w:eastAsia="Times New Roman" w:cstheme="minorHAnsi"/>
          <w:color w:val="000000"/>
          <w:kern w:val="0"/>
          <w:lang w:eastAsia="en-NZ"/>
          <w14:ligatures w14:val="none"/>
        </w:rPr>
        <w:t>unit</w:t>
      </w:r>
      <w:r w:rsidRPr="00B714F9">
        <w:rPr>
          <w:rFonts w:eastAsia="Times New Roman" w:cstheme="minorHAnsi"/>
          <w:color w:val="000000"/>
          <w:kern w:val="0"/>
          <w:lang w:eastAsia="en-NZ"/>
          <w14:ligatures w14:val="none"/>
        </w:rPr>
        <w:t>. </w:t>
      </w:r>
    </w:p>
    <w:p w14:paraId="290DD8A2" w14:textId="71791A37" w:rsidR="005A33FA" w:rsidRPr="00B714F9" w:rsidRDefault="005A33FA" w:rsidP="00B714F9">
      <w:pPr>
        <w:spacing w:before="120" w:after="2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 xml:space="preserve">The performance of the spreading </w:t>
      </w:r>
      <w:r w:rsidR="001F3EE7">
        <w:rPr>
          <w:rFonts w:eastAsia="Times New Roman" w:cstheme="minorHAnsi"/>
          <w:color w:val="000000"/>
          <w:kern w:val="0"/>
          <w:lang w:eastAsia="en-NZ"/>
          <w14:ligatures w14:val="none"/>
        </w:rPr>
        <w:t>unit</w:t>
      </w:r>
      <w:r w:rsidRPr="00B714F9">
        <w:rPr>
          <w:rFonts w:eastAsia="Times New Roman" w:cstheme="minorHAnsi"/>
          <w:color w:val="000000"/>
          <w:kern w:val="0"/>
          <w:lang w:eastAsia="en-NZ"/>
          <w14:ligatures w14:val="none"/>
        </w:rPr>
        <w:t xml:space="preserve"> is determined by measuring the evenness of transverse and longitudinal distribution.</w:t>
      </w:r>
    </w:p>
    <w:p w14:paraId="133C9373" w14:textId="77777777" w:rsidR="005A33FA" w:rsidRPr="00B714F9" w:rsidRDefault="005A33FA" w:rsidP="00B714F9">
      <w:pPr>
        <w:spacing w:before="120" w:after="2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The nutrient flow rate has two components; the average flow, which determines the application rate, and the momentary flow, which determines the longitudinal variation. The average flow rate is measured either directly when calibrating the spreader computer or can be determined by experience – the amount of product spread per unit area. Variations in momentary flow can be measured directly or indirectly by measuring the evenness of the longitudinal distribution.</w:t>
      </w:r>
    </w:p>
    <w:p w14:paraId="15F15907" w14:textId="32A0D47B" w:rsidR="005A33FA" w:rsidRPr="00B714F9" w:rsidRDefault="005A33FA" w:rsidP="00B714F9">
      <w:pPr>
        <w:spacing w:before="120" w:after="2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 xml:space="preserve">The interaction of these factors is complex and momentary changes in flow may </w:t>
      </w:r>
      <w:r w:rsidR="00EE6BDE" w:rsidRPr="00B714F9">
        <w:rPr>
          <w:rFonts w:eastAsia="Times New Roman" w:cstheme="minorHAnsi"/>
          <w:color w:val="000000"/>
          <w:kern w:val="0"/>
          <w:lang w:eastAsia="en-NZ"/>
          <w14:ligatures w14:val="none"/>
        </w:rPr>
        <w:t>affect</w:t>
      </w:r>
      <w:r w:rsidRPr="00B714F9">
        <w:rPr>
          <w:rFonts w:eastAsia="Times New Roman" w:cstheme="minorHAnsi"/>
          <w:color w:val="000000"/>
          <w:kern w:val="0"/>
          <w:lang w:eastAsia="en-NZ"/>
          <w14:ligatures w14:val="none"/>
        </w:rPr>
        <w:t xml:space="preserve"> transverse as well as longitudinal distribution.</w:t>
      </w:r>
    </w:p>
    <w:p w14:paraId="66F1287F" w14:textId="77777777" w:rsidR="005A33FA" w:rsidRPr="00B714F9" w:rsidRDefault="005A33FA" w:rsidP="00B714F9">
      <w:pPr>
        <w:spacing w:before="120" w:after="2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These two primary factors also interact with the operational conditions under which they are measured. It is necessary therefore to define the conditions under which they are measured. These are defined below.</w:t>
      </w:r>
    </w:p>
    <w:p w14:paraId="4CAB90DD" w14:textId="58CFA780" w:rsidR="005A33FA" w:rsidRPr="00C30644" w:rsidRDefault="005A33FA" w:rsidP="00C30644">
      <w:pPr>
        <w:pStyle w:val="ListParagraph"/>
        <w:numPr>
          <w:ilvl w:val="0"/>
          <w:numId w:val="19"/>
        </w:numPr>
        <w:spacing w:before="120" w:after="120" w:line="240" w:lineRule="auto"/>
        <w:jc w:val="both"/>
        <w:rPr>
          <w:rFonts w:eastAsia="Times New Roman" w:cstheme="minorHAnsi"/>
        </w:rPr>
      </w:pPr>
      <w:r w:rsidRPr="00C30644">
        <w:rPr>
          <w:rFonts w:eastAsia="Times New Roman" w:cstheme="minorHAnsi"/>
          <w:b/>
          <w:bCs/>
          <w:color w:val="000000"/>
        </w:rPr>
        <w:t>F</w:t>
      </w:r>
      <w:r w:rsidR="000B298D" w:rsidRPr="00C30644">
        <w:rPr>
          <w:rFonts w:eastAsia="Times New Roman" w:cstheme="minorHAnsi"/>
          <w:b/>
          <w:bCs/>
          <w:color w:val="000000"/>
        </w:rPr>
        <w:t>ACILITIES</w:t>
      </w:r>
    </w:p>
    <w:p w14:paraId="6CE14A5F" w14:textId="4DEFAFA8" w:rsidR="005A33FA" w:rsidRPr="00B714F9" w:rsidRDefault="00A3501C" w:rsidP="00B714F9">
      <w:pPr>
        <w:spacing w:after="200" w:line="240" w:lineRule="auto"/>
        <w:jc w:val="both"/>
        <w:rPr>
          <w:rFonts w:eastAsia="Times New Roman" w:cstheme="minorHAnsi"/>
          <w:kern w:val="0"/>
          <w:lang w:eastAsia="en-NZ"/>
          <w14:ligatures w14:val="none"/>
        </w:rPr>
      </w:pPr>
      <w:r>
        <w:rPr>
          <w:rFonts w:eastAsia="Times New Roman" w:cstheme="minorHAnsi"/>
          <w:color w:val="000000"/>
          <w:kern w:val="0"/>
          <w:lang w:eastAsia="en-NZ"/>
          <w14:ligatures w14:val="none"/>
        </w:rPr>
        <w:t>For ground</w:t>
      </w:r>
      <w:r w:rsidR="00E155EE">
        <w:rPr>
          <w:rFonts w:eastAsia="Times New Roman" w:cstheme="minorHAnsi"/>
          <w:color w:val="000000"/>
          <w:kern w:val="0"/>
          <w:lang w:eastAsia="en-NZ"/>
          <w14:ligatures w14:val="none"/>
        </w:rPr>
        <w:t xml:space="preserve"> </w:t>
      </w:r>
      <w:r>
        <w:rPr>
          <w:rFonts w:eastAsia="Times New Roman" w:cstheme="minorHAnsi"/>
          <w:color w:val="000000"/>
          <w:kern w:val="0"/>
          <w:lang w:eastAsia="en-NZ"/>
          <w14:ligatures w14:val="none"/>
        </w:rPr>
        <w:t>spread</w:t>
      </w:r>
      <w:r w:rsidR="00E155EE">
        <w:rPr>
          <w:rFonts w:eastAsia="Times New Roman" w:cstheme="minorHAnsi"/>
          <w:color w:val="000000"/>
          <w:kern w:val="0"/>
          <w:lang w:eastAsia="en-NZ"/>
          <w14:ligatures w14:val="none"/>
        </w:rPr>
        <w:t>ers</w:t>
      </w:r>
      <w:r>
        <w:rPr>
          <w:rFonts w:eastAsia="Times New Roman" w:cstheme="minorHAnsi"/>
          <w:color w:val="000000"/>
          <w:kern w:val="0"/>
          <w:lang w:eastAsia="en-NZ"/>
          <w14:ligatures w14:val="none"/>
        </w:rPr>
        <w:t xml:space="preserve"> </w:t>
      </w:r>
      <w:r w:rsidR="00B52284">
        <w:rPr>
          <w:rFonts w:eastAsia="Times New Roman" w:cstheme="minorHAnsi"/>
          <w:color w:val="000000"/>
          <w:kern w:val="0"/>
          <w:lang w:eastAsia="en-NZ"/>
          <w14:ligatures w14:val="none"/>
        </w:rPr>
        <w:t>c</w:t>
      </w:r>
      <w:r w:rsidR="005A33FA" w:rsidRPr="00B714F9">
        <w:rPr>
          <w:rFonts w:eastAsia="Times New Roman" w:cstheme="minorHAnsi"/>
          <w:color w:val="000000"/>
          <w:kern w:val="0"/>
          <w:lang w:eastAsia="en-NZ"/>
          <w14:ligatures w14:val="none"/>
        </w:rPr>
        <w:t>ertification tests may be conducted either indoors or outdoors providing all the following specifications are met: </w:t>
      </w:r>
    </w:p>
    <w:tbl>
      <w:tblPr>
        <w:tblW w:w="0" w:type="auto"/>
        <w:tblCellMar>
          <w:top w:w="15" w:type="dxa"/>
          <w:left w:w="15" w:type="dxa"/>
          <w:bottom w:w="15" w:type="dxa"/>
          <w:right w:w="15" w:type="dxa"/>
        </w:tblCellMar>
        <w:tblLook w:val="04A0" w:firstRow="1" w:lastRow="0" w:firstColumn="1" w:lastColumn="0" w:noHBand="0" w:noVBand="1"/>
      </w:tblPr>
      <w:tblGrid>
        <w:gridCol w:w="963"/>
        <w:gridCol w:w="3982"/>
        <w:gridCol w:w="4071"/>
      </w:tblGrid>
      <w:tr w:rsidR="005A33FA" w:rsidRPr="00B714F9" w14:paraId="031E4DE6"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19EF016B"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011636B9"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INDOOR</w:t>
            </w: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4C3E0A4F"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OUTDOOR</w:t>
            </w:r>
          </w:p>
        </w:tc>
      </w:tr>
      <w:tr w:rsidR="005A33FA" w:rsidRPr="00B714F9" w14:paraId="46A575CE"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3C9F1D4A" w14:textId="77777777"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Size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3F336438" w14:textId="563CAF8A"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 xml:space="preserve">Width sufficient to allow the swath to reach the collectors without hindrance and length sufficient to allow the </w:t>
            </w:r>
            <w:r w:rsidR="001A798C">
              <w:rPr>
                <w:rFonts w:eastAsia="Times New Roman" w:cstheme="minorHAnsi"/>
                <w:color w:val="000000"/>
                <w:kern w:val="0"/>
                <w:lang w:eastAsia="en-NZ"/>
                <w14:ligatures w14:val="none"/>
              </w:rPr>
              <w:t>unit</w:t>
            </w:r>
            <w:r w:rsidR="001A798C" w:rsidRPr="00B714F9">
              <w:rPr>
                <w:rFonts w:eastAsia="Times New Roman" w:cstheme="minorHAnsi"/>
                <w:color w:val="000000"/>
                <w:kern w:val="0"/>
                <w:lang w:eastAsia="en-NZ"/>
                <w14:ligatures w14:val="none"/>
              </w:rPr>
              <w:t xml:space="preserve"> </w:t>
            </w:r>
            <w:r w:rsidRPr="00B714F9">
              <w:rPr>
                <w:rFonts w:eastAsia="Times New Roman" w:cstheme="minorHAnsi"/>
                <w:color w:val="000000"/>
                <w:kern w:val="0"/>
                <w:lang w:eastAsia="en-NZ"/>
                <w14:ligatures w14:val="none"/>
              </w:rPr>
              <w:t>to stabilise prior to passing the collectors (see 4 below)</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31989C00" w14:textId="7127333F"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 xml:space="preserve">Width sufficient to allow the swath to reach the collectors without hindrance and sufficient run-up to allow the </w:t>
            </w:r>
            <w:r w:rsidR="001A798C">
              <w:rPr>
                <w:rFonts w:eastAsia="Times New Roman" w:cstheme="minorHAnsi"/>
                <w:color w:val="000000"/>
                <w:kern w:val="0"/>
                <w:lang w:eastAsia="en-NZ"/>
                <w14:ligatures w14:val="none"/>
              </w:rPr>
              <w:t>unit</w:t>
            </w:r>
            <w:r w:rsidRPr="00B714F9">
              <w:rPr>
                <w:rFonts w:eastAsia="Times New Roman" w:cstheme="minorHAnsi"/>
                <w:color w:val="000000"/>
                <w:kern w:val="0"/>
                <w:lang w:eastAsia="en-NZ"/>
                <w14:ligatures w14:val="none"/>
              </w:rPr>
              <w:t xml:space="preserve"> to stabilise prior to passing the collectors (see 4 below)</w:t>
            </w:r>
          </w:p>
        </w:tc>
      </w:tr>
      <w:tr w:rsidR="005A33FA" w:rsidRPr="00B714F9" w14:paraId="2A3C0B43"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54A53674"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Slope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6126D914" w14:textId="77777777"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Flat</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2A62C569" w14:textId="77777777"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&lt; 5</w:t>
            </w:r>
            <w:r w:rsidRPr="00B714F9">
              <w:rPr>
                <w:rFonts w:eastAsia="Times New Roman" w:cstheme="minorHAnsi"/>
                <w:color w:val="000000"/>
                <w:kern w:val="0"/>
                <w:vertAlign w:val="superscript"/>
                <w:lang w:eastAsia="en-NZ"/>
                <w14:ligatures w14:val="none"/>
              </w:rPr>
              <w:t>o</w:t>
            </w:r>
            <w:r w:rsidRPr="00B714F9">
              <w:rPr>
                <w:rFonts w:eastAsia="Times New Roman" w:cstheme="minorHAnsi"/>
                <w:color w:val="000000"/>
                <w:kern w:val="0"/>
                <w:lang w:eastAsia="en-NZ"/>
                <w14:ligatures w14:val="none"/>
              </w:rPr>
              <w:t xml:space="preserve"> (the plane of the collectors must be the same as the spreader)</w:t>
            </w:r>
          </w:p>
        </w:tc>
      </w:tr>
      <w:tr w:rsidR="005A33FA" w:rsidRPr="00B714F9" w14:paraId="38283FE8"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5C88D311"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Wind</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08162931"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Nil</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5536F37F"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&lt; about 15 km/hr and &lt; +/- 15</w:t>
            </w:r>
            <w:r w:rsidRPr="00B714F9">
              <w:rPr>
                <w:rFonts w:eastAsia="Times New Roman" w:cstheme="minorHAnsi"/>
                <w:color w:val="000000"/>
                <w:kern w:val="0"/>
                <w:vertAlign w:val="superscript"/>
                <w:lang w:eastAsia="en-NZ"/>
                <w14:ligatures w14:val="none"/>
              </w:rPr>
              <w:t>o</w:t>
            </w:r>
            <w:r w:rsidRPr="00B714F9">
              <w:rPr>
                <w:rFonts w:eastAsia="Times New Roman" w:cstheme="minorHAnsi"/>
                <w:color w:val="000000"/>
                <w:kern w:val="0"/>
                <w:lang w:eastAsia="en-NZ"/>
                <w14:ligatures w14:val="none"/>
              </w:rPr>
              <w:t xml:space="preserve"> in the direction of travel </w:t>
            </w:r>
            <w:r w:rsidRPr="00B714F9">
              <w:rPr>
                <w:rFonts w:eastAsia="Times New Roman" w:cstheme="minorHAnsi"/>
                <w:color w:val="000000"/>
                <w:kern w:val="0"/>
                <w:vertAlign w:val="superscript"/>
                <w:lang w:eastAsia="en-NZ"/>
                <w14:ligatures w14:val="none"/>
              </w:rPr>
              <w:t>1,2,3, 4</w:t>
            </w:r>
          </w:p>
        </w:tc>
      </w:tr>
      <w:tr w:rsidR="005A33FA" w:rsidRPr="00B714F9" w14:paraId="1A1EA796"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B2868EA"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Surface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584DDDB4" w14:textId="77777777"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Flat and hard</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3E3F369B" w14:textId="77777777"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Firm and smooth</w:t>
            </w:r>
          </w:p>
        </w:tc>
      </w:tr>
      <w:tr w:rsidR="005A33FA" w:rsidRPr="00B714F9" w14:paraId="721ED03E"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50FDFB7"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lastRenderedPageBreak/>
              <w:t>Anti-bounce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6D062820"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Lime or similar inert material at </w:t>
            </w:r>
          </w:p>
          <w:p w14:paraId="203E39C1"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20-25mm depth</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0E3A6AC5" w14:textId="77777777"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Short grass or other vegetation</w:t>
            </w:r>
          </w:p>
        </w:tc>
      </w:tr>
      <w:tr w:rsidR="005A33FA" w:rsidRPr="00B714F9" w14:paraId="0DFD78EB"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327E212"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Site usage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4C1896A5"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Unlimited</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66580411"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Not to exceed local </w:t>
            </w:r>
          </w:p>
          <w:p w14:paraId="59A0EEFE" w14:textId="77777777" w:rsidR="005A33FA" w:rsidRPr="00B714F9" w:rsidRDefault="005A33FA" w:rsidP="00B714F9">
            <w:pPr>
              <w:spacing w:after="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environmental requirements </w:t>
            </w:r>
          </w:p>
        </w:tc>
      </w:tr>
    </w:tbl>
    <w:p w14:paraId="05D4569D" w14:textId="77777777" w:rsidR="00C250BD" w:rsidRDefault="005A33FA" w:rsidP="00EE756F">
      <w:pPr>
        <w:spacing w:after="0" w:line="240" w:lineRule="auto"/>
        <w:jc w:val="both"/>
        <w:rPr>
          <w:rFonts w:cstheme="minorHAnsi"/>
        </w:rPr>
      </w:pPr>
      <w:r w:rsidRPr="00B714F9">
        <w:rPr>
          <w:rFonts w:cstheme="minorHAnsi"/>
          <w:b/>
          <w:bCs/>
        </w:rPr>
        <w:t>Notes</w:t>
      </w:r>
      <w:r w:rsidRPr="00B714F9">
        <w:rPr>
          <w:rFonts w:cstheme="minorHAnsi"/>
        </w:rPr>
        <w:tab/>
      </w:r>
    </w:p>
    <w:p w14:paraId="50147F66" w14:textId="07E5EA3B" w:rsidR="005A33FA" w:rsidRPr="00B714F9" w:rsidRDefault="005A33FA" w:rsidP="00C250BD">
      <w:pPr>
        <w:spacing w:after="0" w:line="240" w:lineRule="auto"/>
        <w:jc w:val="both"/>
        <w:rPr>
          <w:rFonts w:cstheme="minorHAnsi"/>
        </w:rPr>
      </w:pPr>
      <w:r w:rsidRPr="00B714F9">
        <w:rPr>
          <w:rFonts w:cstheme="minorHAnsi"/>
          <w:vertAlign w:val="superscript"/>
        </w:rPr>
        <w:t>1</w:t>
      </w:r>
      <w:r w:rsidRPr="00C250BD">
        <w:rPr>
          <w:rFonts w:cstheme="minorHAnsi"/>
          <w:sz w:val="18"/>
          <w:szCs w:val="18"/>
        </w:rPr>
        <w:t xml:space="preserve">In winds speeds between 10 and 15 km/hr, both the test entrant and the Tester have the right to call a halt to testing if either considers the </w:t>
      </w:r>
      <w:r w:rsidR="00222210">
        <w:rPr>
          <w:rFonts w:cstheme="minorHAnsi"/>
          <w:sz w:val="18"/>
          <w:szCs w:val="18"/>
        </w:rPr>
        <w:t>unit</w:t>
      </w:r>
      <w:r w:rsidRPr="00C250BD">
        <w:rPr>
          <w:rFonts w:cstheme="minorHAnsi"/>
          <w:sz w:val="18"/>
          <w:szCs w:val="18"/>
        </w:rPr>
        <w:t xml:space="preserve"> will be unduly advantaged or disadvantaged by the conditions.</w:t>
      </w:r>
    </w:p>
    <w:p w14:paraId="3D685674" w14:textId="77777777" w:rsidR="005A33FA" w:rsidRPr="00B714F9" w:rsidRDefault="005A33FA" w:rsidP="00C250BD">
      <w:pPr>
        <w:spacing w:after="0" w:line="240" w:lineRule="auto"/>
        <w:jc w:val="both"/>
        <w:rPr>
          <w:rFonts w:cstheme="minorHAnsi"/>
        </w:rPr>
      </w:pPr>
      <w:r w:rsidRPr="00B714F9">
        <w:rPr>
          <w:rFonts w:cstheme="minorHAnsi"/>
          <w:vertAlign w:val="superscript"/>
        </w:rPr>
        <w:t>2</w:t>
      </w:r>
      <w:r w:rsidRPr="00C250BD">
        <w:rPr>
          <w:rFonts w:cstheme="minorHAnsi"/>
          <w:sz w:val="18"/>
          <w:szCs w:val="18"/>
        </w:rPr>
        <w:t>Where the spreader performance appears to be unduly advantaged by a crosswind component, the Tester may set aside the result and request a repeat test</w:t>
      </w:r>
      <w:r w:rsidRPr="00B714F9">
        <w:rPr>
          <w:rFonts w:cstheme="minorHAnsi"/>
        </w:rPr>
        <w:t>.</w:t>
      </w:r>
    </w:p>
    <w:p w14:paraId="66C97748" w14:textId="77777777" w:rsidR="005A33FA" w:rsidRPr="00C250BD" w:rsidRDefault="005A33FA" w:rsidP="00C250BD">
      <w:pPr>
        <w:spacing w:after="0" w:line="240" w:lineRule="auto"/>
        <w:jc w:val="both"/>
        <w:rPr>
          <w:rFonts w:cstheme="minorHAnsi"/>
          <w:sz w:val="18"/>
          <w:szCs w:val="18"/>
        </w:rPr>
      </w:pPr>
      <w:r w:rsidRPr="00B714F9">
        <w:rPr>
          <w:rFonts w:cstheme="minorHAnsi"/>
          <w:vertAlign w:val="superscript"/>
        </w:rPr>
        <w:t>3</w:t>
      </w:r>
      <w:r w:rsidRPr="00C250BD">
        <w:rPr>
          <w:rFonts w:cstheme="minorHAnsi"/>
          <w:sz w:val="18"/>
          <w:szCs w:val="18"/>
        </w:rPr>
        <w:t>With the agreement of the Tester, the direction of travel may be either “into wind” or “down wind”.</w:t>
      </w:r>
    </w:p>
    <w:p w14:paraId="59F1E883" w14:textId="77777777" w:rsidR="005A33FA" w:rsidRPr="00C250BD" w:rsidRDefault="005A33FA" w:rsidP="00C250BD">
      <w:pPr>
        <w:spacing w:after="0" w:line="240" w:lineRule="auto"/>
        <w:jc w:val="both"/>
        <w:rPr>
          <w:rFonts w:cstheme="minorHAnsi"/>
          <w:sz w:val="18"/>
          <w:szCs w:val="18"/>
        </w:rPr>
      </w:pPr>
      <w:r w:rsidRPr="00B714F9">
        <w:rPr>
          <w:rFonts w:cstheme="minorHAnsi"/>
          <w:vertAlign w:val="superscript"/>
        </w:rPr>
        <w:t>4</w:t>
      </w:r>
      <w:r w:rsidRPr="00C250BD">
        <w:rPr>
          <w:rFonts w:cstheme="minorHAnsi"/>
          <w:sz w:val="18"/>
          <w:szCs w:val="18"/>
        </w:rPr>
        <w:t>This windspeed is Beaufort wind scale 3, gentle breeze – i.e. ‘leaves and small twigs move and flags flap’.</w:t>
      </w:r>
    </w:p>
    <w:p w14:paraId="037C8CCD" w14:textId="77777777" w:rsidR="00C250BD" w:rsidRDefault="00C250BD" w:rsidP="00B714F9">
      <w:pPr>
        <w:jc w:val="both"/>
        <w:rPr>
          <w:rFonts w:cstheme="minorHAnsi"/>
        </w:rPr>
      </w:pPr>
    </w:p>
    <w:p w14:paraId="3071BDE3" w14:textId="1A57941B" w:rsidR="005A33FA" w:rsidRPr="00B714F9" w:rsidRDefault="005A33FA" w:rsidP="00B714F9">
      <w:pPr>
        <w:jc w:val="both"/>
        <w:rPr>
          <w:rFonts w:cstheme="minorHAnsi"/>
        </w:rPr>
      </w:pPr>
      <w:r w:rsidRPr="00B714F9">
        <w:rPr>
          <w:rFonts w:cstheme="minorHAnsi"/>
        </w:rPr>
        <w:t xml:space="preserve">It should also be noted that because of the vagaries of wind speed and direction, outdoor testing can only define the performance achieved under those specific conditions and, that performance may be less than the optimum performance the </w:t>
      </w:r>
      <w:r w:rsidR="00222210">
        <w:rPr>
          <w:rFonts w:cstheme="minorHAnsi"/>
        </w:rPr>
        <w:t>unit</w:t>
      </w:r>
      <w:r w:rsidRPr="00B714F9">
        <w:rPr>
          <w:rFonts w:cstheme="minorHAnsi"/>
        </w:rPr>
        <w:t xml:space="preserve"> is capable of under ideal conditions.</w:t>
      </w:r>
    </w:p>
    <w:p w14:paraId="168E6E35" w14:textId="334CE05C" w:rsidR="005A33FA" w:rsidRPr="00C30644" w:rsidRDefault="005A33FA" w:rsidP="00C30644">
      <w:pPr>
        <w:pStyle w:val="ListParagraph"/>
        <w:numPr>
          <w:ilvl w:val="0"/>
          <w:numId w:val="19"/>
        </w:numPr>
        <w:jc w:val="both"/>
        <w:rPr>
          <w:rFonts w:cstheme="minorHAnsi"/>
        </w:rPr>
      </w:pPr>
      <w:r w:rsidRPr="00C30644">
        <w:rPr>
          <w:rFonts w:cstheme="minorHAnsi"/>
          <w:b/>
          <w:bCs/>
        </w:rPr>
        <w:t>T</w:t>
      </w:r>
      <w:r w:rsidR="000B298D" w:rsidRPr="00C30644">
        <w:rPr>
          <w:rFonts w:cstheme="minorHAnsi"/>
          <w:b/>
          <w:bCs/>
        </w:rPr>
        <w:t>EST PRODUCTS</w:t>
      </w:r>
    </w:p>
    <w:p w14:paraId="71269854" w14:textId="2EE28D23" w:rsidR="005A33FA" w:rsidRPr="00B714F9" w:rsidRDefault="005A33FA" w:rsidP="00B714F9">
      <w:pPr>
        <w:jc w:val="both"/>
        <w:rPr>
          <w:rFonts w:cstheme="minorHAnsi"/>
        </w:rPr>
      </w:pPr>
      <w:r w:rsidRPr="00B714F9">
        <w:rPr>
          <w:rFonts w:cstheme="minorHAnsi"/>
        </w:rPr>
        <w:t xml:space="preserve">To obtain a meaningful measure of a nutrient spreader’s performance, certification requires testing over a </w:t>
      </w:r>
      <w:r w:rsidR="000418C1">
        <w:rPr>
          <w:rFonts w:cstheme="minorHAnsi"/>
        </w:rPr>
        <w:t>range of products</w:t>
      </w:r>
      <w:r w:rsidRPr="00B714F9">
        <w:rPr>
          <w:rFonts w:cstheme="minorHAnsi"/>
        </w:rPr>
        <w:t xml:space="preserve"> chosen to represent the physical range of nutrient characteristics. The spreader </w:t>
      </w:r>
      <w:r w:rsidR="00F71E2A">
        <w:rPr>
          <w:rFonts w:cstheme="minorHAnsi"/>
        </w:rPr>
        <w:t>must</w:t>
      </w:r>
      <w:r w:rsidRPr="00B714F9">
        <w:rPr>
          <w:rFonts w:cstheme="minorHAnsi"/>
        </w:rPr>
        <w:t xml:space="preserve"> be tested with three products</w:t>
      </w:r>
      <w:r w:rsidR="00FA1663">
        <w:rPr>
          <w:rFonts w:cstheme="minorHAnsi"/>
        </w:rPr>
        <w:t xml:space="preserve"> selected</w:t>
      </w:r>
      <w:r w:rsidRPr="00B714F9">
        <w:rPr>
          <w:rFonts w:cstheme="minorHAnsi"/>
        </w:rPr>
        <w:t xml:space="preserve"> to represent the physical range of characteristics that are normally spread by the company</w:t>
      </w:r>
      <w:r w:rsidR="001B19D8">
        <w:rPr>
          <w:rFonts w:cstheme="minorHAnsi"/>
        </w:rPr>
        <w:t>, unless a lesser number of prod</w:t>
      </w:r>
      <w:r w:rsidR="00861517">
        <w:rPr>
          <w:rFonts w:cstheme="minorHAnsi"/>
        </w:rPr>
        <w:t>ucts</w:t>
      </w:r>
      <w:r w:rsidR="001B19D8">
        <w:rPr>
          <w:rFonts w:cstheme="minorHAnsi"/>
        </w:rPr>
        <w:t xml:space="preserve"> are spread </w:t>
      </w:r>
      <w:r w:rsidR="00861517">
        <w:rPr>
          <w:rFonts w:cstheme="minorHAnsi"/>
        </w:rPr>
        <w:t>in which case one or both must be tested</w:t>
      </w:r>
      <w:r w:rsidRPr="00B714F9">
        <w:rPr>
          <w:rFonts w:cstheme="minorHAnsi"/>
        </w:rPr>
        <w:t xml:space="preserve">.  </w:t>
      </w:r>
      <w:r w:rsidR="004E1201">
        <w:rPr>
          <w:rFonts w:cstheme="minorHAnsi"/>
        </w:rPr>
        <w:t xml:space="preserve">Where three representative products are tested </w:t>
      </w:r>
      <w:r w:rsidR="00E266E3">
        <w:rPr>
          <w:rFonts w:cstheme="minorHAnsi"/>
        </w:rPr>
        <w:t>o</w:t>
      </w:r>
      <w:r w:rsidRPr="00B714F9">
        <w:rPr>
          <w:rFonts w:cstheme="minorHAnsi"/>
        </w:rPr>
        <w:t>ne of the</w:t>
      </w:r>
      <w:r w:rsidR="00E266E3">
        <w:rPr>
          <w:rFonts w:cstheme="minorHAnsi"/>
        </w:rPr>
        <w:t>m</w:t>
      </w:r>
      <w:r w:rsidRPr="00B714F9">
        <w:rPr>
          <w:rFonts w:cstheme="minorHAnsi"/>
        </w:rPr>
        <w:t xml:space="preserve"> </w:t>
      </w:r>
      <w:r w:rsidR="00F71E2A">
        <w:rPr>
          <w:rFonts w:cstheme="minorHAnsi"/>
        </w:rPr>
        <w:t>must</w:t>
      </w:r>
      <w:r w:rsidRPr="00B714F9">
        <w:rPr>
          <w:rFonts w:cstheme="minorHAnsi"/>
        </w:rPr>
        <w:t xml:space="preserve"> be urea or treated urea.</w:t>
      </w:r>
    </w:p>
    <w:p w14:paraId="70AECDBE" w14:textId="77777777" w:rsidR="005A33FA" w:rsidRPr="00B714F9" w:rsidRDefault="005A33FA" w:rsidP="00B714F9">
      <w:pPr>
        <w:jc w:val="both"/>
        <w:rPr>
          <w:rFonts w:cstheme="minorHAnsi"/>
        </w:rPr>
      </w:pPr>
      <w:r w:rsidRPr="00B714F9">
        <w:rPr>
          <w:rFonts w:cstheme="minorHAnsi"/>
        </w:rPr>
        <w:t>Dedicated spreaders which are only used on one type of nutrient (typically, chicken litter or lime) need only be certified on that type of nutrient.</w:t>
      </w:r>
    </w:p>
    <w:p w14:paraId="7D17DC58" w14:textId="77777777" w:rsidR="005A33FA" w:rsidRPr="00B714F9" w:rsidRDefault="005A33FA" w:rsidP="00B714F9">
      <w:pPr>
        <w:jc w:val="both"/>
        <w:rPr>
          <w:rFonts w:cstheme="minorHAnsi"/>
        </w:rPr>
      </w:pPr>
      <w:r w:rsidRPr="00B714F9">
        <w:rPr>
          <w:rFonts w:cstheme="minorHAnsi"/>
        </w:rPr>
        <w:t>For the guidance of applicators, the following table describes the characteristics of typical nutrient products.</w:t>
      </w:r>
    </w:p>
    <w:tbl>
      <w:tblPr>
        <w:tblW w:w="0" w:type="auto"/>
        <w:tblCellMar>
          <w:top w:w="15" w:type="dxa"/>
          <w:left w:w="15" w:type="dxa"/>
          <w:bottom w:w="15" w:type="dxa"/>
          <w:right w:w="15" w:type="dxa"/>
        </w:tblCellMar>
        <w:tblLook w:val="04A0" w:firstRow="1" w:lastRow="0" w:firstColumn="1" w:lastColumn="0" w:noHBand="0" w:noVBand="1"/>
      </w:tblPr>
      <w:tblGrid>
        <w:gridCol w:w="328"/>
        <w:gridCol w:w="1095"/>
        <w:gridCol w:w="760"/>
        <w:gridCol w:w="3814"/>
      </w:tblGrid>
      <w:tr w:rsidR="005A33FA" w:rsidRPr="00B714F9" w14:paraId="151EA398"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176D1295" w14:textId="77777777" w:rsidR="005A33FA" w:rsidRPr="00B714F9" w:rsidRDefault="005A33FA" w:rsidP="00B714F9">
            <w:pPr>
              <w:jc w:val="both"/>
              <w:rPr>
                <w:rFonts w:cstheme="minorHAnsi"/>
              </w:rPr>
            </w:pP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4E6EA649" w14:textId="77777777" w:rsidR="005A33FA" w:rsidRPr="00B714F9" w:rsidRDefault="005A33FA" w:rsidP="00B714F9">
            <w:pPr>
              <w:jc w:val="both"/>
              <w:rPr>
                <w:rFonts w:cstheme="minorHAnsi"/>
              </w:rPr>
            </w:pPr>
            <w:r w:rsidRPr="00B714F9">
              <w:rPr>
                <w:rFonts w:cstheme="minorHAnsi"/>
              </w:rPr>
              <w:t>SGN</w:t>
            </w:r>
            <w:r w:rsidRPr="00B714F9">
              <w:rPr>
                <w:rFonts w:cstheme="minorHAnsi"/>
                <w:vertAlign w:val="superscript"/>
              </w:rPr>
              <w:t>1</w:t>
            </w: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05EE154A" w14:textId="77777777" w:rsidR="005A33FA" w:rsidRPr="00B714F9" w:rsidRDefault="005A33FA" w:rsidP="00B714F9">
            <w:pPr>
              <w:jc w:val="both"/>
              <w:rPr>
                <w:rFonts w:cstheme="minorHAnsi"/>
              </w:rPr>
            </w:pPr>
            <w:r w:rsidRPr="00B714F9">
              <w:rPr>
                <w:rFonts w:cstheme="minorHAnsi"/>
                <w:b/>
                <w:bCs/>
              </w:rPr>
              <w:t>UI</w:t>
            </w:r>
            <w:r w:rsidRPr="00B714F9">
              <w:rPr>
                <w:rFonts w:cstheme="minorHAnsi"/>
                <w:b/>
                <w:bCs/>
                <w:vertAlign w:val="superscript"/>
              </w:rPr>
              <w:t>2</w:t>
            </w: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19B37866" w14:textId="77777777" w:rsidR="005A33FA" w:rsidRPr="00B714F9" w:rsidRDefault="005A33FA" w:rsidP="00B714F9">
            <w:pPr>
              <w:jc w:val="both"/>
              <w:rPr>
                <w:rFonts w:cstheme="minorHAnsi"/>
              </w:rPr>
            </w:pPr>
            <w:r w:rsidRPr="00B714F9">
              <w:rPr>
                <w:rFonts w:cstheme="minorHAnsi"/>
                <w:b/>
                <w:bCs/>
              </w:rPr>
              <w:t>PRODUCT EXAMPLE</w:t>
            </w:r>
          </w:p>
        </w:tc>
      </w:tr>
      <w:tr w:rsidR="005A33FA" w:rsidRPr="00B714F9" w14:paraId="3479DF1B" w14:textId="77777777" w:rsidTr="004D182C">
        <w:tc>
          <w:tcPr>
            <w:tcW w:w="0" w:type="auto"/>
            <w:tcBorders>
              <w:top w:val="single" w:sz="4" w:space="0" w:color="4F6228"/>
              <w:left w:val="single" w:sz="4" w:space="0" w:color="4F6228"/>
              <w:right w:val="single" w:sz="4" w:space="0" w:color="4F6228"/>
            </w:tcBorders>
            <w:shd w:val="clear" w:color="auto" w:fill="C2D69B"/>
            <w:tcMar>
              <w:top w:w="0" w:type="dxa"/>
              <w:left w:w="108" w:type="dxa"/>
              <w:bottom w:w="0" w:type="dxa"/>
              <w:right w:w="108" w:type="dxa"/>
            </w:tcMar>
            <w:vAlign w:val="center"/>
            <w:hideMark/>
          </w:tcPr>
          <w:p w14:paraId="5376BD15" w14:textId="77777777" w:rsidR="005A33FA" w:rsidRPr="00B714F9" w:rsidRDefault="005A33FA" w:rsidP="00B714F9">
            <w:pPr>
              <w:jc w:val="both"/>
              <w:rPr>
                <w:rFonts w:cstheme="minorHAnsi"/>
              </w:rPr>
            </w:pPr>
            <w:r w:rsidRPr="00B714F9">
              <w:rPr>
                <w:rFonts w:cstheme="minorHAnsi"/>
              </w:rPr>
              <w:t>1</w:t>
            </w:r>
          </w:p>
        </w:tc>
        <w:tc>
          <w:tcPr>
            <w:tcW w:w="0" w:type="auto"/>
            <w:tcBorders>
              <w:top w:val="single" w:sz="4" w:space="0" w:color="4F6228"/>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0D40B7AF" w14:textId="77777777" w:rsidR="005A33FA" w:rsidRPr="00B714F9" w:rsidRDefault="005A33FA" w:rsidP="00B714F9">
            <w:pPr>
              <w:jc w:val="both"/>
              <w:rPr>
                <w:rFonts w:cstheme="minorHAnsi"/>
              </w:rPr>
            </w:pPr>
            <w:r w:rsidRPr="00B714F9">
              <w:rPr>
                <w:rFonts w:cstheme="minorHAnsi"/>
              </w:rPr>
              <w:t>20 – 60</w:t>
            </w:r>
          </w:p>
        </w:tc>
        <w:tc>
          <w:tcPr>
            <w:tcW w:w="0" w:type="auto"/>
            <w:tcBorders>
              <w:top w:val="single" w:sz="4" w:space="0" w:color="4F6228"/>
              <w:left w:val="single" w:sz="4" w:space="0" w:color="4F6228"/>
              <w:right w:val="single" w:sz="4" w:space="0" w:color="4F6228"/>
            </w:tcBorders>
            <w:shd w:val="clear" w:color="auto" w:fill="EBF1DD"/>
            <w:tcMar>
              <w:top w:w="0" w:type="dxa"/>
              <w:left w:w="108" w:type="dxa"/>
              <w:bottom w:w="0" w:type="dxa"/>
              <w:right w:w="108" w:type="dxa"/>
            </w:tcMar>
            <w:vAlign w:val="center"/>
            <w:hideMark/>
          </w:tcPr>
          <w:p w14:paraId="06D35B04" w14:textId="77777777" w:rsidR="005A33FA" w:rsidRPr="00B714F9" w:rsidRDefault="005A33FA" w:rsidP="00B714F9">
            <w:pPr>
              <w:jc w:val="both"/>
              <w:rPr>
                <w:rFonts w:cstheme="minorHAnsi"/>
              </w:rPr>
            </w:pPr>
            <w:r w:rsidRPr="00B714F9">
              <w:rPr>
                <w:rFonts w:cstheme="minorHAnsi"/>
              </w:rPr>
              <w:t>4 – 10</w:t>
            </w:r>
          </w:p>
        </w:tc>
        <w:tc>
          <w:tcPr>
            <w:tcW w:w="0" w:type="auto"/>
            <w:tcBorders>
              <w:top w:val="single" w:sz="4" w:space="0" w:color="4F6228"/>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755762E5" w14:textId="77777777" w:rsidR="005A33FA" w:rsidRPr="00B714F9" w:rsidRDefault="005A33FA" w:rsidP="00B714F9">
            <w:pPr>
              <w:jc w:val="both"/>
              <w:rPr>
                <w:rFonts w:cstheme="minorHAnsi"/>
              </w:rPr>
            </w:pPr>
            <w:r w:rsidRPr="00B714F9">
              <w:rPr>
                <w:rFonts w:cstheme="minorHAnsi"/>
              </w:rPr>
              <w:t>Lime or RPR</w:t>
            </w:r>
          </w:p>
        </w:tc>
      </w:tr>
      <w:tr w:rsidR="005A33FA" w:rsidRPr="00B714F9" w14:paraId="43DD13B9" w14:textId="77777777" w:rsidTr="004D182C">
        <w:tc>
          <w:tcPr>
            <w:tcW w:w="0" w:type="auto"/>
            <w:tcBorders>
              <w:left w:val="single" w:sz="4" w:space="0" w:color="4F6228"/>
              <w:right w:val="single" w:sz="4" w:space="0" w:color="4F6228"/>
            </w:tcBorders>
            <w:shd w:val="clear" w:color="auto" w:fill="C2D69B"/>
            <w:tcMar>
              <w:top w:w="0" w:type="dxa"/>
              <w:left w:w="108" w:type="dxa"/>
              <w:bottom w:w="0" w:type="dxa"/>
              <w:right w:w="108" w:type="dxa"/>
            </w:tcMar>
            <w:vAlign w:val="center"/>
            <w:hideMark/>
          </w:tcPr>
          <w:p w14:paraId="4270E8A6" w14:textId="77777777" w:rsidR="005A33FA" w:rsidRPr="00B714F9" w:rsidRDefault="005A33FA" w:rsidP="00B714F9">
            <w:pPr>
              <w:jc w:val="both"/>
              <w:rPr>
                <w:rFonts w:cstheme="minorHAnsi"/>
              </w:rPr>
            </w:pPr>
            <w:r w:rsidRPr="00B714F9">
              <w:rPr>
                <w:rFonts w:cstheme="minorHAnsi"/>
              </w:rPr>
              <w:t>2</w:t>
            </w:r>
          </w:p>
        </w:tc>
        <w:tc>
          <w:tcPr>
            <w:tcW w:w="0" w:type="auto"/>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0099F9FB" w14:textId="77777777" w:rsidR="005A33FA" w:rsidRPr="00B714F9" w:rsidRDefault="005A33FA" w:rsidP="00B714F9">
            <w:pPr>
              <w:jc w:val="both"/>
              <w:rPr>
                <w:rFonts w:cstheme="minorHAnsi"/>
              </w:rPr>
            </w:pPr>
            <w:r w:rsidRPr="00B714F9">
              <w:rPr>
                <w:rFonts w:cstheme="minorHAnsi"/>
              </w:rPr>
              <w:t>120</w:t>
            </w:r>
          </w:p>
        </w:tc>
        <w:tc>
          <w:tcPr>
            <w:tcW w:w="0" w:type="auto"/>
            <w:tcBorders>
              <w:left w:val="single" w:sz="4" w:space="0" w:color="4F6228"/>
              <w:right w:val="single" w:sz="4" w:space="0" w:color="4F6228"/>
            </w:tcBorders>
            <w:shd w:val="clear" w:color="auto" w:fill="EBF1DD"/>
            <w:tcMar>
              <w:top w:w="0" w:type="dxa"/>
              <w:left w:w="108" w:type="dxa"/>
              <w:bottom w:w="0" w:type="dxa"/>
              <w:right w:w="108" w:type="dxa"/>
            </w:tcMar>
            <w:vAlign w:val="center"/>
            <w:hideMark/>
          </w:tcPr>
          <w:p w14:paraId="2E17C536" w14:textId="77777777" w:rsidR="005A33FA" w:rsidRPr="00B714F9" w:rsidRDefault="005A33FA" w:rsidP="00B714F9">
            <w:pPr>
              <w:jc w:val="both"/>
              <w:rPr>
                <w:rFonts w:cstheme="minorHAnsi"/>
              </w:rPr>
            </w:pPr>
            <w:r w:rsidRPr="00B714F9">
              <w:rPr>
                <w:rFonts w:cstheme="minorHAnsi"/>
              </w:rPr>
              <w:t>20</w:t>
            </w:r>
          </w:p>
        </w:tc>
        <w:tc>
          <w:tcPr>
            <w:tcW w:w="0" w:type="auto"/>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60F576D8" w14:textId="77777777" w:rsidR="005A33FA" w:rsidRPr="00B714F9" w:rsidRDefault="005A33FA" w:rsidP="00B714F9">
            <w:pPr>
              <w:jc w:val="both"/>
              <w:rPr>
                <w:rFonts w:cstheme="minorHAnsi"/>
              </w:rPr>
            </w:pPr>
            <w:r w:rsidRPr="00B714F9">
              <w:rPr>
                <w:rFonts w:cstheme="minorHAnsi"/>
              </w:rPr>
              <w:t>Standard Ammonium Sulphate</w:t>
            </w:r>
          </w:p>
        </w:tc>
      </w:tr>
      <w:tr w:rsidR="005A33FA" w:rsidRPr="00B714F9" w14:paraId="07A607A2" w14:textId="77777777" w:rsidTr="004D182C">
        <w:tc>
          <w:tcPr>
            <w:tcW w:w="0" w:type="auto"/>
            <w:tcBorders>
              <w:left w:val="single" w:sz="4" w:space="0" w:color="4F6228"/>
              <w:right w:val="single" w:sz="4" w:space="0" w:color="4F6228"/>
            </w:tcBorders>
            <w:shd w:val="clear" w:color="auto" w:fill="C2D69B"/>
            <w:tcMar>
              <w:top w:w="0" w:type="dxa"/>
              <w:left w:w="108" w:type="dxa"/>
              <w:bottom w:w="0" w:type="dxa"/>
              <w:right w:w="108" w:type="dxa"/>
            </w:tcMar>
            <w:vAlign w:val="center"/>
            <w:hideMark/>
          </w:tcPr>
          <w:p w14:paraId="134A7AE0" w14:textId="77777777" w:rsidR="005A33FA" w:rsidRPr="00B714F9" w:rsidRDefault="005A33FA" w:rsidP="00B714F9">
            <w:pPr>
              <w:jc w:val="both"/>
              <w:rPr>
                <w:rFonts w:cstheme="minorHAnsi"/>
              </w:rPr>
            </w:pPr>
            <w:r w:rsidRPr="00B714F9">
              <w:rPr>
                <w:rFonts w:cstheme="minorHAnsi"/>
              </w:rPr>
              <w:t>3</w:t>
            </w:r>
          </w:p>
        </w:tc>
        <w:tc>
          <w:tcPr>
            <w:tcW w:w="0" w:type="auto"/>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2B588E9C" w14:textId="77777777" w:rsidR="005A33FA" w:rsidRPr="00B714F9" w:rsidRDefault="005A33FA" w:rsidP="00B714F9">
            <w:pPr>
              <w:jc w:val="both"/>
              <w:rPr>
                <w:rFonts w:cstheme="minorHAnsi"/>
              </w:rPr>
            </w:pPr>
            <w:r w:rsidRPr="00B714F9">
              <w:rPr>
                <w:rFonts w:cstheme="minorHAnsi"/>
              </w:rPr>
              <w:t>250 – 350</w:t>
            </w:r>
          </w:p>
        </w:tc>
        <w:tc>
          <w:tcPr>
            <w:tcW w:w="0" w:type="auto"/>
            <w:tcBorders>
              <w:left w:val="single" w:sz="4" w:space="0" w:color="4F6228"/>
              <w:right w:val="single" w:sz="4" w:space="0" w:color="4F6228"/>
            </w:tcBorders>
            <w:shd w:val="clear" w:color="auto" w:fill="EBF1DD"/>
            <w:tcMar>
              <w:top w:w="0" w:type="dxa"/>
              <w:left w:w="108" w:type="dxa"/>
              <w:bottom w:w="0" w:type="dxa"/>
              <w:right w:w="108" w:type="dxa"/>
            </w:tcMar>
            <w:vAlign w:val="center"/>
            <w:hideMark/>
          </w:tcPr>
          <w:p w14:paraId="7F63C917" w14:textId="77777777" w:rsidR="005A33FA" w:rsidRPr="00B714F9" w:rsidRDefault="005A33FA" w:rsidP="00B714F9">
            <w:pPr>
              <w:jc w:val="both"/>
              <w:rPr>
                <w:rFonts w:cstheme="minorHAnsi"/>
              </w:rPr>
            </w:pPr>
            <w:r w:rsidRPr="00B714F9">
              <w:rPr>
                <w:rFonts w:cstheme="minorHAnsi"/>
              </w:rPr>
              <w:t>30</w:t>
            </w:r>
          </w:p>
        </w:tc>
        <w:tc>
          <w:tcPr>
            <w:tcW w:w="0" w:type="auto"/>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32267011" w14:textId="77777777" w:rsidR="005A33FA" w:rsidRPr="00B714F9" w:rsidRDefault="005A33FA" w:rsidP="00B714F9">
            <w:pPr>
              <w:jc w:val="both"/>
              <w:rPr>
                <w:rFonts w:cstheme="minorHAnsi"/>
              </w:rPr>
            </w:pPr>
            <w:r w:rsidRPr="00B714F9">
              <w:rPr>
                <w:rFonts w:cstheme="minorHAnsi"/>
              </w:rPr>
              <w:t>Superphosphate</w:t>
            </w:r>
          </w:p>
        </w:tc>
      </w:tr>
      <w:tr w:rsidR="005A33FA" w:rsidRPr="00B714F9" w14:paraId="184F18AD" w14:textId="77777777" w:rsidTr="004D182C">
        <w:tc>
          <w:tcPr>
            <w:tcW w:w="0" w:type="auto"/>
            <w:tcBorders>
              <w:left w:val="single" w:sz="4" w:space="0" w:color="4F6228"/>
              <w:right w:val="single" w:sz="4" w:space="0" w:color="4F6228"/>
            </w:tcBorders>
            <w:shd w:val="clear" w:color="auto" w:fill="C2D69B"/>
            <w:tcMar>
              <w:top w:w="0" w:type="dxa"/>
              <w:left w:w="108" w:type="dxa"/>
              <w:bottom w:w="0" w:type="dxa"/>
              <w:right w:w="108" w:type="dxa"/>
            </w:tcMar>
            <w:vAlign w:val="center"/>
            <w:hideMark/>
          </w:tcPr>
          <w:p w14:paraId="077F81F6" w14:textId="77777777" w:rsidR="005A33FA" w:rsidRPr="00B714F9" w:rsidRDefault="005A33FA" w:rsidP="00B714F9">
            <w:pPr>
              <w:jc w:val="both"/>
              <w:rPr>
                <w:rFonts w:cstheme="minorHAnsi"/>
              </w:rPr>
            </w:pPr>
            <w:r w:rsidRPr="00B714F9">
              <w:rPr>
                <w:rFonts w:cstheme="minorHAnsi"/>
              </w:rPr>
              <w:t>4</w:t>
            </w:r>
          </w:p>
        </w:tc>
        <w:tc>
          <w:tcPr>
            <w:tcW w:w="0" w:type="auto"/>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41A95F02" w14:textId="77777777" w:rsidR="005A33FA" w:rsidRPr="00B714F9" w:rsidRDefault="005A33FA" w:rsidP="00B714F9">
            <w:pPr>
              <w:jc w:val="both"/>
              <w:rPr>
                <w:rFonts w:cstheme="minorHAnsi"/>
              </w:rPr>
            </w:pPr>
            <w:r w:rsidRPr="00B714F9">
              <w:rPr>
                <w:rFonts w:cstheme="minorHAnsi"/>
              </w:rPr>
              <w:t>320</w:t>
            </w:r>
          </w:p>
        </w:tc>
        <w:tc>
          <w:tcPr>
            <w:tcW w:w="0" w:type="auto"/>
            <w:tcBorders>
              <w:left w:val="single" w:sz="4" w:space="0" w:color="4F6228"/>
              <w:right w:val="single" w:sz="4" w:space="0" w:color="4F6228"/>
            </w:tcBorders>
            <w:shd w:val="clear" w:color="auto" w:fill="EBF1DD"/>
            <w:tcMar>
              <w:top w:w="0" w:type="dxa"/>
              <w:left w:w="108" w:type="dxa"/>
              <w:bottom w:w="0" w:type="dxa"/>
              <w:right w:w="108" w:type="dxa"/>
            </w:tcMar>
            <w:vAlign w:val="center"/>
            <w:hideMark/>
          </w:tcPr>
          <w:p w14:paraId="19AEA2C0" w14:textId="77777777" w:rsidR="005A33FA" w:rsidRPr="00B714F9" w:rsidRDefault="005A33FA" w:rsidP="00B714F9">
            <w:pPr>
              <w:jc w:val="both"/>
              <w:rPr>
                <w:rFonts w:cstheme="minorHAnsi"/>
              </w:rPr>
            </w:pPr>
            <w:r w:rsidRPr="00B714F9">
              <w:rPr>
                <w:rFonts w:cstheme="minorHAnsi"/>
              </w:rPr>
              <w:t>55</w:t>
            </w:r>
          </w:p>
        </w:tc>
        <w:tc>
          <w:tcPr>
            <w:tcW w:w="0" w:type="auto"/>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5BA65D1D" w14:textId="77777777" w:rsidR="005A33FA" w:rsidRPr="00B714F9" w:rsidRDefault="005A33FA" w:rsidP="00B714F9">
            <w:pPr>
              <w:jc w:val="both"/>
              <w:rPr>
                <w:rFonts w:cstheme="minorHAnsi"/>
              </w:rPr>
            </w:pPr>
            <w:r w:rsidRPr="00B714F9">
              <w:rPr>
                <w:rFonts w:cstheme="minorHAnsi"/>
              </w:rPr>
              <w:t>DAP or Granulated Ammonium Sulphate</w:t>
            </w:r>
          </w:p>
        </w:tc>
      </w:tr>
      <w:tr w:rsidR="005A33FA" w:rsidRPr="00B714F9" w14:paraId="2E855D4D" w14:textId="77777777" w:rsidTr="004D182C">
        <w:tc>
          <w:tcPr>
            <w:tcW w:w="0" w:type="auto"/>
            <w:tcBorders>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D7250FB" w14:textId="77777777" w:rsidR="005A33FA" w:rsidRPr="00B714F9" w:rsidRDefault="005A33FA" w:rsidP="00B714F9">
            <w:pPr>
              <w:jc w:val="both"/>
              <w:rPr>
                <w:rFonts w:cstheme="minorHAnsi"/>
              </w:rPr>
            </w:pPr>
            <w:r w:rsidRPr="00B714F9">
              <w:rPr>
                <w:rFonts w:cstheme="minorHAnsi"/>
              </w:rPr>
              <w:t>5</w:t>
            </w:r>
          </w:p>
        </w:tc>
        <w:tc>
          <w:tcPr>
            <w:tcW w:w="0" w:type="auto"/>
            <w:tcBorders>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15998680" w14:textId="77777777" w:rsidR="005A33FA" w:rsidRPr="00B714F9" w:rsidRDefault="005A33FA" w:rsidP="00B714F9">
            <w:pPr>
              <w:jc w:val="both"/>
              <w:rPr>
                <w:rFonts w:cstheme="minorHAnsi"/>
              </w:rPr>
            </w:pPr>
            <w:r w:rsidRPr="00B714F9">
              <w:rPr>
                <w:rFonts w:cstheme="minorHAnsi"/>
              </w:rPr>
              <w:t>320</w:t>
            </w:r>
          </w:p>
        </w:tc>
        <w:tc>
          <w:tcPr>
            <w:tcW w:w="0" w:type="auto"/>
            <w:tcBorders>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3DC9A3C2" w14:textId="77777777" w:rsidR="005A33FA" w:rsidRPr="00B714F9" w:rsidRDefault="005A33FA" w:rsidP="00B714F9">
            <w:pPr>
              <w:jc w:val="both"/>
              <w:rPr>
                <w:rFonts w:cstheme="minorHAnsi"/>
              </w:rPr>
            </w:pPr>
            <w:r w:rsidRPr="00B714F9">
              <w:rPr>
                <w:rFonts w:cstheme="minorHAnsi"/>
              </w:rPr>
              <w:t>60</w:t>
            </w:r>
          </w:p>
        </w:tc>
        <w:tc>
          <w:tcPr>
            <w:tcW w:w="0" w:type="auto"/>
            <w:tcBorders>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7B9C1959" w14:textId="77777777" w:rsidR="005A33FA" w:rsidRPr="00B714F9" w:rsidRDefault="005A33FA" w:rsidP="00B714F9">
            <w:pPr>
              <w:jc w:val="both"/>
              <w:rPr>
                <w:rFonts w:cstheme="minorHAnsi"/>
              </w:rPr>
            </w:pPr>
            <w:r w:rsidRPr="00B714F9">
              <w:rPr>
                <w:rFonts w:cstheme="minorHAnsi"/>
              </w:rPr>
              <w:t>Urea</w:t>
            </w:r>
          </w:p>
        </w:tc>
      </w:tr>
    </w:tbl>
    <w:p w14:paraId="65E7A7C4" w14:textId="77777777" w:rsidR="00620F63" w:rsidRDefault="005A33FA" w:rsidP="00620F63">
      <w:pPr>
        <w:spacing w:after="0" w:line="240" w:lineRule="auto"/>
        <w:jc w:val="both"/>
        <w:rPr>
          <w:rFonts w:cstheme="minorHAnsi"/>
        </w:rPr>
      </w:pPr>
      <w:r w:rsidRPr="00B714F9">
        <w:rPr>
          <w:rFonts w:cstheme="minorHAnsi"/>
          <w:b/>
          <w:bCs/>
        </w:rPr>
        <w:t>Notes</w:t>
      </w:r>
      <w:r w:rsidRPr="00B714F9">
        <w:rPr>
          <w:rFonts w:cstheme="minorHAnsi"/>
        </w:rPr>
        <w:tab/>
      </w:r>
    </w:p>
    <w:p w14:paraId="4D591116" w14:textId="67C40459" w:rsidR="005A33FA" w:rsidRPr="004048AA" w:rsidRDefault="005A33FA" w:rsidP="004048AA">
      <w:pPr>
        <w:spacing w:after="0" w:line="240" w:lineRule="auto"/>
        <w:jc w:val="both"/>
        <w:rPr>
          <w:rFonts w:cstheme="minorHAnsi"/>
          <w:sz w:val="18"/>
          <w:szCs w:val="18"/>
        </w:rPr>
      </w:pPr>
      <w:r w:rsidRPr="00B714F9">
        <w:rPr>
          <w:rFonts w:cstheme="minorHAnsi"/>
          <w:vertAlign w:val="superscript"/>
        </w:rPr>
        <w:t>1</w:t>
      </w:r>
      <w:r w:rsidRPr="004048AA">
        <w:rPr>
          <w:rFonts w:cstheme="minorHAnsi"/>
          <w:sz w:val="18"/>
          <w:szCs w:val="18"/>
        </w:rPr>
        <w:t>The Size Guide Number (SGN) is the Mean Particle Size (MPS) in millimetres multiplied by 100.</w:t>
      </w:r>
    </w:p>
    <w:p w14:paraId="6CF16915" w14:textId="77777777" w:rsidR="005A33FA" w:rsidRPr="004048AA" w:rsidRDefault="005A33FA" w:rsidP="004048AA">
      <w:pPr>
        <w:spacing w:line="240" w:lineRule="auto"/>
        <w:jc w:val="both"/>
        <w:rPr>
          <w:rFonts w:cstheme="minorHAnsi"/>
          <w:sz w:val="18"/>
          <w:szCs w:val="18"/>
        </w:rPr>
      </w:pPr>
      <w:r w:rsidRPr="00B714F9">
        <w:rPr>
          <w:rFonts w:cstheme="minorHAnsi"/>
          <w:vertAlign w:val="superscript"/>
        </w:rPr>
        <w:t>2</w:t>
      </w:r>
      <w:r w:rsidRPr="004048AA">
        <w:rPr>
          <w:rFonts w:cstheme="minorHAnsi"/>
          <w:sz w:val="18"/>
          <w:szCs w:val="18"/>
        </w:rPr>
        <w:t>UI = Uniformity Index which indicates the range of particle sizes within the sample. A low number indicates a wide range of particle sizes.</w:t>
      </w:r>
    </w:p>
    <w:p w14:paraId="045940A5" w14:textId="77777777" w:rsidR="005A33FA" w:rsidRPr="00B714F9" w:rsidRDefault="005A33FA" w:rsidP="00B714F9">
      <w:pPr>
        <w:jc w:val="both"/>
        <w:rPr>
          <w:rFonts w:cstheme="minorHAnsi"/>
        </w:rPr>
      </w:pPr>
      <w:r w:rsidRPr="00B714F9">
        <w:rPr>
          <w:rFonts w:cstheme="minorHAnsi"/>
        </w:rPr>
        <w:t>While the SGN’s of superphosphate, DAP and urea are not greatly different, their spreading performance can be.  Super may spread differently from DAP because of the different UI. Urea may spread differently from DAP because the bulk density is significantly less.</w:t>
      </w:r>
    </w:p>
    <w:p w14:paraId="6F11B0B6" w14:textId="77777777" w:rsidR="005A33FA" w:rsidRPr="00B714F9" w:rsidRDefault="005A33FA" w:rsidP="00B714F9">
      <w:pPr>
        <w:jc w:val="both"/>
        <w:rPr>
          <w:rFonts w:cstheme="minorHAnsi"/>
        </w:rPr>
      </w:pPr>
      <w:r w:rsidRPr="00B714F9">
        <w:rPr>
          <w:rFonts w:cstheme="minorHAnsi"/>
        </w:rPr>
        <w:t>It is noted that the physical properties of generic nutrients, such as superphosphate, urea and lime vary over time and between suppliers.</w:t>
      </w:r>
    </w:p>
    <w:p w14:paraId="14B52DDB" w14:textId="77777777" w:rsidR="005A33FA" w:rsidRPr="00B714F9" w:rsidRDefault="005A33FA" w:rsidP="00B714F9">
      <w:pPr>
        <w:jc w:val="both"/>
        <w:rPr>
          <w:rFonts w:cstheme="minorHAnsi"/>
        </w:rPr>
      </w:pPr>
      <w:r w:rsidRPr="00B714F9">
        <w:rPr>
          <w:rFonts w:cstheme="minorHAnsi"/>
        </w:rPr>
        <w:lastRenderedPageBreak/>
        <w:t>The following measurements will be carried out on each test product:</w:t>
      </w:r>
    </w:p>
    <w:p w14:paraId="05ACE83A" w14:textId="77777777" w:rsidR="005A33FA" w:rsidRPr="00B714F9" w:rsidRDefault="005A33FA" w:rsidP="00B714F9">
      <w:pPr>
        <w:numPr>
          <w:ilvl w:val="0"/>
          <w:numId w:val="11"/>
        </w:numPr>
        <w:jc w:val="both"/>
        <w:rPr>
          <w:rFonts w:cstheme="minorHAnsi"/>
        </w:rPr>
      </w:pPr>
      <w:r w:rsidRPr="00B714F9">
        <w:rPr>
          <w:rFonts w:cstheme="minorHAnsi"/>
        </w:rPr>
        <w:t>size guide number</w:t>
      </w:r>
    </w:p>
    <w:p w14:paraId="5555BF5A" w14:textId="77777777" w:rsidR="005A33FA" w:rsidRPr="00B714F9" w:rsidRDefault="005A33FA" w:rsidP="00B714F9">
      <w:pPr>
        <w:numPr>
          <w:ilvl w:val="0"/>
          <w:numId w:val="12"/>
        </w:numPr>
        <w:jc w:val="both"/>
        <w:rPr>
          <w:rFonts w:cstheme="minorHAnsi"/>
        </w:rPr>
      </w:pPr>
      <w:r w:rsidRPr="00B714F9">
        <w:rPr>
          <w:rFonts w:cstheme="minorHAnsi"/>
        </w:rPr>
        <w:t>uniformity index</w:t>
      </w:r>
    </w:p>
    <w:p w14:paraId="559AC812" w14:textId="77777777" w:rsidR="005A33FA" w:rsidRPr="00B714F9" w:rsidRDefault="005A33FA" w:rsidP="00B714F9">
      <w:pPr>
        <w:numPr>
          <w:ilvl w:val="0"/>
          <w:numId w:val="13"/>
        </w:numPr>
        <w:jc w:val="both"/>
        <w:rPr>
          <w:rFonts w:cstheme="minorHAnsi"/>
        </w:rPr>
      </w:pPr>
      <w:r w:rsidRPr="00B714F9">
        <w:rPr>
          <w:rFonts w:cstheme="minorHAnsi"/>
        </w:rPr>
        <w:t>bulk density</w:t>
      </w:r>
    </w:p>
    <w:p w14:paraId="2DFA355B" w14:textId="77777777" w:rsidR="005A33FA" w:rsidRPr="00B714F9" w:rsidRDefault="005A33FA" w:rsidP="00B714F9">
      <w:pPr>
        <w:jc w:val="both"/>
        <w:rPr>
          <w:rFonts w:cstheme="minorHAnsi"/>
        </w:rPr>
      </w:pPr>
    </w:p>
    <w:p w14:paraId="72DD9D3A" w14:textId="79FE81EF" w:rsidR="005A33FA" w:rsidRPr="00C30644" w:rsidRDefault="000B298D" w:rsidP="00C30644">
      <w:pPr>
        <w:pStyle w:val="ListParagraph"/>
        <w:numPr>
          <w:ilvl w:val="0"/>
          <w:numId w:val="19"/>
        </w:numPr>
        <w:jc w:val="both"/>
        <w:rPr>
          <w:rFonts w:cstheme="minorHAnsi"/>
        </w:rPr>
      </w:pPr>
      <w:r w:rsidRPr="00C30644">
        <w:rPr>
          <w:rFonts w:cstheme="minorHAnsi"/>
          <w:b/>
          <w:bCs/>
        </w:rPr>
        <w:t>TEST CONDITIONS</w:t>
      </w:r>
    </w:p>
    <w:p w14:paraId="3AE5AA9D" w14:textId="77777777" w:rsidR="005A33FA" w:rsidRPr="00B714F9" w:rsidRDefault="005A33FA" w:rsidP="00B714F9">
      <w:pPr>
        <w:jc w:val="both"/>
        <w:rPr>
          <w:rFonts w:cstheme="minorHAnsi"/>
        </w:rPr>
      </w:pPr>
      <w:r w:rsidRPr="00B714F9">
        <w:rPr>
          <w:rFonts w:cstheme="minorHAnsi"/>
        </w:rPr>
        <w:t>The following conditions must be met for measuring transverse and longitudinal distribution.</w:t>
      </w:r>
    </w:p>
    <w:tbl>
      <w:tblPr>
        <w:tblW w:w="0" w:type="auto"/>
        <w:tblCellMar>
          <w:top w:w="15" w:type="dxa"/>
          <w:left w:w="15" w:type="dxa"/>
          <w:bottom w:w="15" w:type="dxa"/>
          <w:right w:w="15" w:type="dxa"/>
        </w:tblCellMar>
        <w:tblLook w:val="04A0" w:firstRow="1" w:lastRow="0" w:firstColumn="1" w:lastColumn="0" w:noHBand="0" w:noVBand="1"/>
      </w:tblPr>
      <w:tblGrid>
        <w:gridCol w:w="1723"/>
        <w:gridCol w:w="7293"/>
      </w:tblGrid>
      <w:tr w:rsidR="005A33FA" w:rsidRPr="00B714F9" w14:paraId="3CDC5835"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17CF1C49" w14:textId="2CD98BE7" w:rsidR="005A33FA" w:rsidRPr="00B714F9" w:rsidRDefault="005A33FA" w:rsidP="00B714F9">
            <w:pPr>
              <w:jc w:val="both"/>
              <w:rPr>
                <w:rFonts w:cstheme="minorHAnsi"/>
              </w:rPr>
            </w:pPr>
            <w:r w:rsidRPr="00B714F9">
              <w:rPr>
                <w:rFonts w:cstheme="minorHAnsi"/>
                <w:b/>
                <w:bCs/>
              </w:rPr>
              <w:t xml:space="preserve">Spreader </w:t>
            </w:r>
            <w:r w:rsidR="00160BDF">
              <w:rPr>
                <w:rFonts w:cstheme="minorHAnsi"/>
                <w:b/>
                <w:bCs/>
              </w:rPr>
              <w:t>unit</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7F7CC86D" w14:textId="28587ECE" w:rsidR="005A33FA" w:rsidRPr="00B714F9" w:rsidRDefault="005A33FA" w:rsidP="00B714F9">
            <w:pPr>
              <w:jc w:val="both"/>
              <w:rPr>
                <w:rFonts w:cstheme="minorHAnsi"/>
              </w:rPr>
            </w:pPr>
            <w:r w:rsidRPr="00B714F9">
              <w:rPr>
                <w:rFonts w:cstheme="minorHAnsi"/>
              </w:rPr>
              <w:t xml:space="preserve">Spreaders </w:t>
            </w:r>
            <w:r w:rsidR="006D544C">
              <w:rPr>
                <w:rFonts w:cstheme="minorHAnsi"/>
              </w:rPr>
              <w:t>must</w:t>
            </w:r>
            <w:r w:rsidRPr="00B714F9">
              <w:rPr>
                <w:rFonts w:cstheme="minorHAnsi"/>
              </w:rPr>
              <w:t xml:space="preserve"> be clean and in sound working condition. </w:t>
            </w:r>
            <w:r w:rsidR="001D3F9A">
              <w:rPr>
                <w:rFonts w:cstheme="minorHAnsi"/>
              </w:rPr>
              <w:t xml:space="preserve">For ground </w:t>
            </w:r>
            <w:r w:rsidR="00414986">
              <w:rPr>
                <w:rFonts w:cstheme="minorHAnsi"/>
              </w:rPr>
              <w:t>spreading, s</w:t>
            </w:r>
            <w:r w:rsidRPr="00B714F9">
              <w:rPr>
                <w:rFonts w:cstheme="minorHAnsi"/>
              </w:rPr>
              <w:t>pinning disc units must have a display of disc speed that can be observed by the operator while spreading.</w:t>
            </w:r>
            <w:r w:rsidR="009946FF">
              <w:rPr>
                <w:rFonts w:cstheme="minorHAnsi"/>
              </w:rPr>
              <w:t xml:space="preserve"> This cannot be done for helicopters so spinner speed </w:t>
            </w:r>
            <w:r w:rsidR="00971CC1">
              <w:rPr>
                <w:rFonts w:cstheme="minorHAnsi"/>
              </w:rPr>
              <w:t>during pattern testing is usually recorded by the tester.</w:t>
            </w:r>
          </w:p>
          <w:p w14:paraId="7121E85E" w14:textId="69B229D3" w:rsidR="005A33FA" w:rsidRPr="00B714F9" w:rsidRDefault="005A33FA" w:rsidP="00B714F9">
            <w:pPr>
              <w:jc w:val="both"/>
              <w:rPr>
                <w:rFonts w:cstheme="minorHAnsi"/>
              </w:rPr>
            </w:pPr>
            <w:r w:rsidRPr="00B714F9">
              <w:rPr>
                <w:rFonts w:cstheme="minorHAnsi"/>
              </w:rPr>
              <w:t>Evidence of the use of an auditable GPS tracking device is mandatory for spreaders that are to have Spreadmark Test Certificates.  It is expected that the positioning accuracy of the GPS is to within one metr</w:t>
            </w:r>
            <w:r w:rsidR="00BE7323">
              <w:rPr>
                <w:rFonts w:cstheme="minorHAnsi"/>
              </w:rPr>
              <w:t>e</w:t>
            </w:r>
            <w:r w:rsidRPr="00B714F9">
              <w:rPr>
                <w:rFonts w:cstheme="minorHAnsi"/>
              </w:rPr>
              <w:t xml:space="preserve">.  The tracking system </w:t>
            </w:r>
            <w:r w:rsidR="00BE7323">
              <w:rPr>
                <w:rFonts w:cstheme="minorHAnsi"/>
              </w:rPr>
              <w:t>must</w:t>
            </w:r>
            <w:r w:rsidRPr="00B714F9">
              <w:rPr>
                <w:rFonts w:cstheme="minorHAnsi"/>
              </w:rPr>
              <w:t xml:space="preserve"> be able to verify that the placement of fertili</w:t>
            </w:r>
            <w:r w:rsidR="0081085F">
              <w:rPr>
                <w:rFonts w:cstheme="minorHAnsi"/>
              </w:rPr>
              <w:t>s</w:t>
            </w:r>
            <w:r w:rsidRPr="00B714F9">
              <w:rPr>
                <w:rFonts w:cstheme="minorHAnsi"/>
              </w:rPr>
              <w:t>er (mapping) is within the target area and in accordance with the Spreadmark test protocols so that fertili</w:t>
            </w:r>
            <w:r w:rsidR="0081085F">
              <w:rPr>
                <w:rFonts w:cstheme="minorHAnsi"/>
              </w:rPr>
              <w:t>s</w:t>
            </w:r>
            <w:r w:rsidRPr="00B714F9">
              <w:rPr>
                <w:rFonts w:cstheme="minorHAnsi"/>
              </w:rPr>
              <w:t>er is not spread into environmentally sensitive areas.</w:t>
            </w:r>
          </w:p>
        </w:tc>
      </w:tr>
      <w:tr w:rsidR="005A33FA" w:rsidRPr="00B714F9" w14:paraId="0C341CA0"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6C30BF0B" w14:textId="77777777" w:rsidR="005A33FA" w:rsidRPr="00B714F9" w:rsidRDefault="005A33FA" w:rsidP="00B714F9">
            <w:pPr>
              <w:jc w:val="both"/>
              <w:rPr>
                <w:rFonts w:cstheme="minorHAnsi"/>
              </w:rPr>
            </w:pPr>
            <w:r w:rsidRPr="00B714F9">
              <w:rPr>
                <w:rFonts w:cstheme="minorHAnsi"/>
                <w:b/>
                <w:bCs/>
              </w:rPr>
              <w:t>Hopper loading</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251E0860" w14:textId="77777777" w:rsidR="005A33FA" w:rsidRPr="00B714F9" w:rsidRDefault="005A33FA" w:rsidP="00B714F9">
            <w:pPr>
              <w:jc w:val="both"/>
              <w:rPr>
                <w:rFonts w:cstheme="minorHAnsi"/>
              </w:rPr>
            </w:pPr>
            <w:r w:rsidRPr="00B714F9">
              <w:rPr>
                <w:rFonts w:cstheme="minorHAnsi"/>
              </w:rPr>
              <w:t>Sufficient to completely cover the feed mechanism and the hopper outlet throughout the duration of the test.</w:t>
            </w:r>
          </w:p>
        </w:tc>
      </w:tr>
      <w:tr w:rsidR="005A33FA" w:rsidRPr="00B714F9" w14:paraId="42841547"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463AE01F" w14:textId="77777777" w:rsidR="005A33FA" w:rsidRPr="00B714F9" w:rsidRDefault="005A33FA" w:rsidP="00B714F9">
            <w:pPr>
              <w:jc w:val="both"/>
              <w:rPr>
                <w:rFonts w:cstheme="minorHAnsi"/>
              </w:rPr>
            </w:pPr>
            <w:r w:rsidRPr="00B714F9">
              <w:rPr>
                <w:rFonts w:cstheme="minorHAnsi"/>
                <w:b/>
                <w:bCs/>
              </w:rPr>
              <w:t>Application rate</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5BB4CF5D" w14:textId="77777777" w:rsidR="005A33FA" w:rsidRPr="00B714F9" w:rsidRDefault="005A33FA" w:rsidP="00B714F9">
            <w:pPr>
              <w:jc w:val="both"/>
              <w:rPr>
                <w:rFonts w:cstheme="minorHAnsi"/>
              </w:rPr>
            </w:pPr>
            <w:r w:rsidRPr="00B714F9">
              <w:rPr>
                <w:rFonts w:cstheme="minorHAnsi"/>
              </w:rPr>
              <w:t>Application rates used during test are to be the typical rates for that product by the operator</w:t>
            </w:r>
            <w:r w:rsidRPr="00B714F9">
              <w:rPr>
                <w:rFonts w:cstheme="minorHAnsi"/>
                <w:vertAlign w:val="superscript"/>
              </w:rPr>
              <w:t>1</w:t>
            </w:r>
          </w:p>
        </w:tc>
      </w:tr>
      <w:tr w:rsidR="005A33FA" w:rsidRPr="00B714F9" w14:paraId="35113D70"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60310D3F" w14:textId="77777777" w:rsidR="005A33FA" w:rsidRPr="00B714F9" w:rsidRDefault="005A33FA" w:rsidP="00B714F9">
            <w:pPr>
              <w:jc w:val="both"/>
              <w:rPr>
                <w:rFonts w:cstheme="minorHAnsi"/>
              </w:rPr>
            </w:pPr>
            <w:r w:rsidRPr="00B714F9">
              <w:rPr>
                <w:rFonts w:cstheme="minorHAnsi"/>
                <w:b/>
                <w:bCs/>
              </w:rPr>
              <w:t>Speed over the collectors</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54D61C87" w14:textId="77777777" w:rsidR="005A33FA" w:rsidRPr="00B714F9" w:rsidRDefault="005A33FA" w:rsidP="00B714F9">
            <w:pPr>
              <w:jc w:val="both"/>
              <w:rPr>
                <w:rFonts w:cstheme="minorHAnsi"/>
              </w:rPr>
            </w:pPr>
            <w:r w:rsidRPr="00B714F9">
              <w:rPr>
                <w:rFonts w:cstheme="minorHAnsi"/>
              </w:rPr>
              <w:t>As near as possible to the typical operating speed as is consistent with safety considerations</w:t>
            </w:r>
          </w:p>
        </w:tc>
      </w:tr>
      <w:tr w:rsidR="005A33FA" w:rsidRPr="00B714F9" w14:paraId="54C3A6C3"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716EB5B8" w14:textId="77777777" w:rsidR="005A33FA" w:rsidRPr="00B714F9" w:rsidRDefault="005A33FA" w:rsidP="00B714F9">
            <w:pPr>
              <w:jc w:val="both"/>
              <w:rPr>
                <w:rFonts w:cstheme="minorHAnsi"/>
              </w:rPr>
            </w:pPr>
            <w:r w:rsidRPr="00B714F9">
              <w:rPr>
                <w:rFonts w:cstheme="minorHAnsi"/>
                <w:b/>
                <w:bCs/>
              </w:rPr>
              <w:t>Distance prior to passing the collectors</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3F3E5159" w14:textId="77777777" w:rsidR="005A33FA" w:rsidRPr="00B714F9" w:rsidRDefault="005A33FA" w:rsidP="00B714F9">
            <w:pPr>
              <w:jc w:val="both"/>
              <w:rPr>
                <w:rFonts w:cstheme="minorHAnsi"/>
              </w:rPr>
            </w:pPr>
            <w:r w:rsidRPr="00B714F9">
              <w:rPr>
                <w:rFonts w:cstheme="minorHAnsi"/>
              </w:rPr>
              <w:t xml:space="preserve">20 metres minimum </w:t>
            </w:r>
            <w:r w:rsidRPr="00B714F9">
              <w:rPr>
                <w:rFonts w:cstheme="minorHAnsi"/>
                <w:vertAlign w:val="superscript"/>
              </w:rPr>
              <w:t>2</w:t>
            </w:r>
          </w:p>
        </w:tc>
      </w:tr>
      <w:tr w:rsidR="005A33FA" w:rsidRPr="00B714F9" w14:paraId="1235C77E"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70E1621A" w14:textId="77777777" w:rsidR="005A33FA" w:rsidRPr="00B714F9" w:rsidRDefault="005A33FA" w:rsidP="00B714F9">
            <w:pPr>
              <w:jc w:val="both"/>
              <w:rPr>
                <w:rFonts w:cstheme="minorHAnsi"/>
              </w:rPr>
            </w:pPr>
            <w:r w:rsidRPr="00B714F9">
              <w:rPr>
                <w:rFonts w:cstheme="minorHAnsi"/>
                <w:b/>
                <w:bCs/>
              </w:rPr>
              <w:t>Number of passes over collectors</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117D626E" w14:textId="77777777" w:rsidR="005A33FA" w:rsidRPr="00B714F9" w:rsidRDefault="005A33FA" w:rsidP="00B714F9">
            <w:pPr>
              <w:jc w:val="both"/>
              <w:rPr>
                <w:rFonts w:cstheme="minorHAnsi"/>
              </w:rPr>
            </w:pPr>
            <w:r w:rsidRPr="00B714F9">
              <w:rPr>
                <w:rFonts w:cstheme="minorHAnsi"/>
              </w:rPr>
              <w:t>Between one and three</w:t>
            </w:r>
            <w:r w:rsidRPr="00B714F9">
              <w:rPr>
                <w:rFonts w:cstheme="minorHAnsi"/>
                <w:vertAlign w:val="superscript"/>
              </w:rPr>
              <w:t>3</w:t>
            </w:r>
          </w:p>
        </w:tc>
      </w:tr>
    </w:tbl>
    <w:p w14:paraId="35429917" w14:textId="77777777" w:rsidR="009F6F04" w:rsidRDefault="005A33FA" w:rsidP="004048AA">
      <w:pPr>
        <w:spacing w:line="240" w:lineRule="auto"/>
        <w:jc w:val="both"/>
        <w:rPr>
          <w:rFonts w:cstheme="minorHAnsi"/>
        </w:rPr>
      </w:pPr>
      <w:r w:rsidRPr="00B714F9">
        <w:rPr>
          <w:rFonts w:cstheme="minorHAnsi"/>
          <w:b/>
          <w:bCs/>
        </w:rPr>
        <w:t>Notes</w:t>
      </w:r>
      <w:r w:rsidRPr="00B714F9">
        <w:rPr>
          <w:rFonts w:cstheme="minorHAnsi"/>
        </w:rPr>
        <w:tab/>
      </w:r>
    </w:p>
    <w:p w14:paraId="3432E2B9" w14:textId="4B11FB72" w:rsidR="005A33FA" w:rsidRPr="005531EF" w:rsidRDefault="005A33FA" w:rsidP="005531EF">
      <w:pPr>
        <w:spacing w:line="240" w:lineRule="auto"/>
        <w:jc w:val="both"/>
        <w:rPr>
          <w:rFonts w:cstheme="minorHAnsi"/>
          <w:sz w:val="18"/>
          <w:szCs w:val="18"/>
        </w:rPr>
      </w:pPr>
      <w:r w:rsidRPr="00B714F9">
        <w:rPr>
          <w:rFonts w:cstheme="minorHAnsi"/>
          <w:vertAlign w:val="superscript"/>
        </w:rPr>
        <w:t>1</w:t>
      </w:r>
      <w:r w:rsidRPr="005531EF">
        <w:rPr>
          <w:rFonts w:cstheme="minorHAnsi"/>
          <w:sz w:val="18"/>
          <w:szCs w:val="18"/>
        </w:rPr>
        <w:t xml:space="preserve">Otherwise, the default nominated test rates </w:t>
      </w:r>
      <w:r w:rsidR="000B298D">
        <w:rPr>
          <w:rFonts w:cstheme="minorHAnsi"/>
          <w:sz w:val="18"/>
          <w:szCs w:val="18"/>
        </w:rPr>
        <w:t>shall</w:t>
      </w:r>
      <w:r w:rsidRPr="005531EF">
        <w:rPr>
          <w:rFonts w:cstheme="minorHAnsi"/>
          <w:sz w:val="18"/>
          <w:szCs w:val="18"/>
        </w:rPr>
        <w:t xml:space="preserve"> be:</w:t>
      </w:r>
    </w:p>
    <w:p w14:paraId="1F30A4A8" w14:textId="77777777" w:rsidR="005A33FA" w:rsidRPr="005531EF" w:rsidRDefault="005A33FA" w:rsidP="005531EF">
      <w:pPr>
        <w:numPr>
          <w:ilvl w:val="0"/>
          <w:numId w:val="14"/>
        </w:numPr>
        <w:spacing w:after="0" w:line="240" w:lineRule="auto"/>
        <w:jc w:val="both"/>
        <w:rPr>
          <w:rFonts w:cstheme="minorHAnsi"/>
          <w:sz w:val="18"/>
          <w:szCs w:val="18"/>
        </w:rPr>
      </w:pPr>
      <w:r w:rsidRPr="005531EF">
        <w:rPr>
          <w:rFonts w:cstheme="minorHAnsi"/>
          <w:sz w:val="18"/>
          <w:szCs w:val="18"/>
        </w:rPr>
        <w:t>Urea 70 kg/ha</w:t>
      </w:r>
    </w:p>
    <w:p w14:paraId="28298584" w14:textId="77777777" w:rsidR="005A33FA" w:rsidRPr="005531EF" w:rsidRDefault="005A33FA" w:rsidP="005531EF">
      <w:pPr>
        <w:numPr>
          <w:ilvl w:val="0"/>
          <w:numId w:val="14"/>
        </w:numPr>
        <w:spacing w:after="0" w:line="240" w:lineRule="auto"/>
        <w:jc w:val="both"/>
        <w:rPr>
          <w:rFonts w:cstheme="minorHAnsi"/>
          <w:sz w:val="18"/>
          <w:szCs w:val="18"/>
        </w:rPr>
      </w:pPr>
      <w:r w:rsidRPr="005531EF">
        <w:rPr>
          <w:rFonts w:cstheme="minorHAnsi"/>
          <w:sz w:val="18"/>
          <w:szCs w:val="18"/>
        </w:rPr>
        <w:t>Single super 300 kg/ha</w:t>
      </w:r>
    </w:p>
    <w:p w14:paraId="5BF3F38A" w14:textId="77777777" w:rsidR="005A33FA" w:rsidRPr="005531EF" w:rsidRDefault="005A33FA" w:rsidP="005531EF">
      <w:pPr>
        <w:numPr>
          <w:ilvl w:val="0"/>
          <w:numId w:val="14"/>
        </w:numPr>
        <w:spacing w:after="0" w:line="240" w:lineRule="auto"/>
        <w:jc w:val="both"/>
        <w:rPr>
          <w:rFonts w:cstheme="minorHAnsi"/>
          <w:sz w:val="18"/>
          <w:szCs w:val="18"/>
        </w:rPr>
      </w:pPr>
      <w:r w:rsidRPr="005531EF">
        <w:rPr>
          <w:rFonts w:cstheme="minorHAnsi"/>
          <w:sz w:val="18"/>
          <w:szCs w:val="18"/>
        </w:rPr>
        <w:t>DAP and mixes 200 kg/ha</w:t>
      </w:r>
    </w:p>
    <w:p w14:paraId="38D2E620" w14:textId="77777777" w:rsidR="005A33FA" w:rsidRPr="005531EF" w:rsidRDefault="005A33FA" w:rsidP="005531EF">
      <w:pPr>
        <w:numPr>
          <w:ilvl w:val="0"/>
          <w:numId w:val="14"/>
        </w:numPr>
        <w:spacing w:line="240" w:lineRule="auto"/>
        <w:jc w:val="both"/>
        <w:rPr>
          <w:rFonts w:cstheme="minorHAnsi"/>
          <w:sz w:val="18"/>
          <w:szCs w:val="18"/>
        </w:rPr>
      </w:pPr>
      <w:r w:rsidRPr="005531EF">
        <w:rPr>
          <w:rFonts w:cstheme="minorHAnsi"/>
          <w:sz w:val="18"/>
          <w:szCs w:val="18"/>
        </w:rPr>
        <w:t>Lime 2500 kg/ha</w:t>
      </w:r>
    </w:p>
    <w:p w14:paraId="0DD3302C" w14:textId="1923D93F" w:rsidR="005A33FA" w:rsidRPr="005531EF" w:rsidRDefault="005A33FA" w:rsidP="005531EF">
      <w:pPr>
        <w:jc w:val="both"/>
        <w:rPr>
          <w:rFonts w:cstheme="minorHAnsi"/>
          <w:sz w:val="18"/>
          <w:szCs w:val="18"/>
        </w:rPr>
      </w:pPr>
      <w:r w:rsidRPr="00B714F9">
        <w:rPr>
          <w:rFonts w:cstheme="minorHAnsi"/>
          <w:vertAlign w:val="superscript"/>
        </w:rPr>
        <w:t>2</w:t>
      </w:r>
      <w:r w:rsidRPr="005531EF">
        <w:rPr>
          <w:rFonts w:cstheme="minorHAnsi"/>
          <w:sz w:val="18"/>
          <w:szCs w:val="18"/>
        </w:rPr>
        <w:t xml:space="preserve">Mechanically driven metering units require significantly less than 20m to achieve normal flow. For </w:t>
      </w:r>
      <w:r w:rsidR="006876E8">
        <w:rPr>
          <w:rFonts w:cstheme="minorHAnsi"/>
          <w:sz w:val="18"/>
          <w:szCs w:val="18"/>
        </w:rPr>
        <w:t>unit</w:t>
      </w:r>
      <w:r w:rsidRPr="005531EF">
        <w:rPr>
          <w:rFonts w:cstheme="minorHAnsi"/>
          <w:sz w:val="18"/>
          <w:szCs w:val="18"/>
        </w:rPr>
        <w:t xml:space="preserve">s with </w:t>
      </w:r>
      <w:r w:rsidR="000B298D" w:rsidRPr="005531EF">
        <w:rPr>
          <w:rFonts w:cstheme="minorHAnsi"/>
          <w:sz w:val="18"/>
          <w:szCs w:val="18"/>
        </w:rPr>
        <w:t>computer-controlled</w:t>
      </w:r>
      <w:r w:rsidRPr="005531EF">
        <w:rPr>
          <w:rFonts w:cstheme="minorHAnsi"/>
          <w:sz w:val="18"/>
          <w:szCs w:val="18"/>
        </w:rPr>
        <w:t xml:space="preserve"> metering, the run-up distance may depend on the sensitivity of the software controlling the flow rate.  All spreaders should be able to achieve stabilised flow within 20 metres of travel if they are to give acceptable performance in the field.</w:t>
      </w:r>
    </w:p>
    <w:p w14:paraId="79EBB397" w14:textId="42D8FB0C" w:rsidR="005A33FA" w:rsidRPr="005531EF" w:rsidRDefault="005A33FA" w:rsidP="005531EF">
      <w:pPr>
        <w:spacing w:after="0" w:line="240" w:lineRule="auto"/>
        <w:jc w:val="both"/>
        <w:rPr>
          <w:rFonts w:cstheme="minorHAnsi"/>
          <w:sz w:val="18"/>
          <w:szCs w:val="18"/>
        </w:rPr>
      </w:pPr>
      <w:r w:rsidRPr="00B714F9">
        <w:rPr>
          <w:rFonts w:cstheme="minorHAnsi"/>
          <w:vertAlign w:val="superscript"/>
        </w:rPr>
        <w:lastRenderedPageBreak/>
        <w:t>3</w:t>
      </w:r>
      <w:r w:rsidRPr="005531EF">
        <w:rPr>
          <w:rFonts w:cstheme="minorHAnsi"/>
          <w:sz w:val="18"/>
          <w:szCs w:val="18"/>
        </w:rPr>
        <w:t xml:space="preserve">The number of passes of the spreader over the trays will be between one and three. Where the nominal application rate is above 80 kg/ha a single pass will be used. Where more than one run is made, the runs will be in the same direction and with no alteration to the settings of the </w:t>
      </w:r>
      <w:r w:rsidR="006876E8">
        <w:rPr>
          <w:rFonts w:cstheme="minorHAnsi"/>
          <w:sz w:val="18"/>
          <w:szCs w:val="18"/>
        </w:rPr>
        <w:t>units</w:t>
      </w:r>
      <w:r w:rsidRPr="005531EF">
        <w:rPr>
          <w:rFonts w:cstheme="minorHAnsi"/>
          <w:sz w:val="18"/>
          <w:szCs w:val="18"/>
        </w:rPr>
        <w:t>, there will be one weight for the three runs and the number of runs will be recorded on the test sheet.</w:t>
      </w:r>
    </w:p>
    <w:p w14:paraId="62559D1E" w14:textId="77777777" w:rsidR="005A33FA" w:rsidRPr="00B714F9" w:rsidRDefault="005A33FA" w:rsidP="00B714F9">
      <w:pPr>
        <w:ind w:left="360"/>
        <w:jc w:val="both"/>
        <w:rPr>
          <w:rFonts w:cstheme="minorHAnsi"/>
        </w:rPr>
      </w:pPr>
    </w:p>
    <w:p w14:paraId="09796C15" w14:textId="77A57B02" w:rsidR="005A33FA" w:rsidRPr="00C30644" w:rsidRDefault="00DA0C99" w:rsidP="00C30644">
      <w:pPr>
        <w:pStyle w:val="ListParagraph"/>
        <w:numPr>
          <w:ilvl w:val="0"/>
          <w:numId w:val="19"/>
        </w:numPr>
        <w:jc w:val="both"/>
        <w:rPr>
          <w:rFonts w:cstheme="minorHAnsi"/>
        </w:rPr>
      </w:pPr>
      <w:r w:rsidRPr="00C30644">
        <w:rPr>
          <w:rFonts w:cstheme="minorHAnsi"/>
          <w:b/>
          <w:bCs/>
        </w:rPr>
        <w:t>COLLECTORS AND COLLECTOR LAYOUT</w:t>
      </w:r>
    </w:p>
    <w:p w14:paraId="12340F7D" w14:textId="5CDE484A" w:rsidR="005A33FA" w:rsidRPr="00B714F9" w:rsidRDefault="005A33FA" w:rsidP="00B714F9">
      <w:pPr>
        <w:jc w:val="both"/>
        <w:rPr>
          <w:rFonts w:cstheme="minorHAnsi"/>
        </w:rPr>
      </w:pPr>
      <w:r w:rsidRPr="00B714F9">
        <w:rPr>
          <w:rFonts w:cstheme="minorHAnsi"/>
        </w:rPr>
        <w:t xml:space="preserve">Collectors and collector inserts used for Spreadmark testing </w:t>
      </w:r>
      <w:r w:rsidR="00DA0C99">
        <w:rPr>
          <w:rFonts w:cstheme="minorHAnsi"/>
        </w:rPr>
        <w:t>must</w:t>
      </w:r>
      <w:r w:rsidRPr="00B714F9">
        <w:rPr>
          <w:rFonts w:cstheme="minorHAnsi"/>
        </w:rPr>
        <w:t xml:space="preserve"> be of a type approved by the Fertiliser Quality Council for that purpose</w:t>
      </w:r>
      <w:r w:rsidRPr="00971CC1">
        <w:rPr>
          <w:rFonts w:cstheme="minorHAnsi"/>
        </w:rPr>
        <w:t>. Refer to the register of approved collector types</w:t>
      </w:r>
      <w:r w:rsidR="00384FA7" w:rsidRPr="00971CC1">
        <w:rPr>
          <w:rFonts w:cstheme="minorHAnsi"/>
        </w:rPr>
        <w:t xml:space="preserve"> </w:t>
      </w:r>
      <w:r w:rsidRPr="00971CC1">
        <w:rPr>
          <w:rFonts w:cstheme="minorHAnsi"/>
        </w:rPr>
        <w:t>for details.</w:t>
      </w:r>
      <w:r w:rsidRPr="00B714F9">
        <w:rPr>
          <w:rFonts w:cstheme="minorHAnsi"/>
        </w:rPr>
        <w:t> </w:t>
      </w:r>
    </w:p>
    <w:p w14:paraId="7242E82D" w14:textId="7F9E6EBB" w:rsidR="005A33FA" w:rsidRPr="00B714F9" w:rsidRDefault="005A33FA" w:rsidP="0006034A">
      <w:pPr>
        <w:ind w:left="360"/>
        <w:jc w:val="both"/>
        <w:rPr>
          <w:rFonts w:cstheme="minorHAnsi"/>
        </w:rPr>
      </w:pPr>
      <w:r w:rsidRPr="00B714F9">
        <w:rPr>
          <w:rFonts w:cstheme="minorHAnsi"/>
        </w:rPr>
        <w:t xml:space="preserve">Collectors used for transverse and longitudinal measurement </w:t>
      </w:r>
      <w:r w:rsidR="00843896">
        <w:rPr>
          <w:rFonts w:cstheme="minorHAnsi"/>
        </w:rPr>
        <w:t>shall</w:t>
      </w:r>
      <w:r w:rsidRPr="00B714F9">
        <w:rPr>
          <w:rFonts w:cstheme="minorHAnsi"/>
        </w:rPr>
        <w:t xml:space="preserve"> </w:t>
      </w:r>
      <w:r w:rsidR="0006034A">
        <w:rPr>
          <w:rFonts w:cstheme="minorHAnsi"/>
        </w:rPr>
        <w:t>either</w:t>
      </w:r>
      <w:r w:rsidRPr="00B714F9">
        <w:rPr>
          <w:rFonts w:cstheme="minorHAnsi"/>
        </w:rPr>
        <w:t xml:space="preserve"> comply with the following specifications:</w:t>
      </w:r>
    </w:p>
    <w:p w14:paraId="0BD20847" w14:textId="24805166" w:rsidR="005A33FA" w:rsidRPr="00B714F9" w:rsidRDefault="005A33FA" w:rsidP="0006034A">
      <w:pPr>
        <w:numPr>
          <w:ilvl w:val="0"/>
          <w:numId w:val="15"/>
        </w:numPr>
        <w:tabs>
          <w:tab w:val="clear" w:pos="720"/>
          <w:tab w:val="num" w:pos="1080"/>
        </w:tabs>
        <w:spacing w:after="0"/>
        <w:ind w:left="1080"/>
        <w:jc w:val="both"/>
        <w:rPr>
          <w:rFonts w:cstheme="minorHAnsi"/>
        </w:rPr>
      </w:pPr>
      <w:r w:rsidRPr="00B714F9">
        <w:rPr>
          <w:rFonts w:cstheme="minorHAnsi"/>
        </w:rPr>
        <w:t xml:space="preserve">Collector size </w:t>
      </w:r>
      <w:r w:rsidR="008520C3">
        <w:rPr>
          <w:rFonts w:cstheme="minorHAnsi"/>
        </w:rPr>
        <w:t>shall</w:t>
      </w:r>
      <w:r w:rsidRPr="00B714F9">
        <w:rPr>
          <w:rFonts w:cstheme="minorHAnsi"/>
        </w:rPr>
        <w:t xml:space="preserve"> be nominally 500 x 500 with a minimum collector depth </w:t>
      </w:r>
      <w:r w:rsidRPr="00456E92">
        <w:rPr>
          <w:rFonts w:cstheme="minorHAnsi"/>
        </w:rPr>
        <w:t>of 95 mm.</w:t>
      </w:r>
    </w:p>
    <w:p w14:paraId="13943E13" w14:textId="69BF6AA7" w:rsidR="005A33FA" w:rsidRPr="00B714F9" w:rsidRDefault="005A33FA" w:rsidP="0006034A">
      <w:pPr>
        <w:numPr>
          <w:ilvl w:val="0"/>
          <w:numId w:val="16"/>
        </w:numPr>
        <w:tabs>
          <w:tab w:val="clear" w:pos="720"/>
          <w:tab w:val="num" w:pos="1080"/>
        </w:tabs>
        <w:spacing w:after="0"/>
        <w:ind w:left="1080"/>
        <w:jc w:val="both"/>
        <w:rPr>
          <w:rFonts w:cstheme="minorHAnsi"/>
        </w:rPr>
      </w:pPr>
      <w:r w:rsidRPr="00B714F9">
        <w:rPr>
          <w:rFonts w:cstheme="minorHAnsi"/>
        </w:rPr>
        <w:t xml:space="preserve">Collectors </w:t>
      </w:r>
      <w:r w:rsidR="008520C3">
        <w:rPr>
          <w:rFonts w:cstheme="minorHAnsi"/>
        </w:rPr>
        <w:t>shall</w:t>
      </w:r>
      <w:r w:rsidRPr="00B714F9">
        <w:rPr>
          <w:rFonts w:cstheme="minorHAnsi"/>
        </w:rPr>
        <w:t xml:space="preserve"> have suitable anti-ricochet inserts to ensure that as much nutrient as practicable is collected.</w:t>
      </w:r>
    </w:p>
    <w:p w14:paraId="391E0DCF" w14:textId="77777777" w:rsidR="005A33FA" w:rsidRDefault="005A33FA" w:rsidP="0006034A">
      <w:pPr>
        <w:numPr>
          <w:ilvl w:val="0"/>
          <w:numId w:val="16"/>
        </w:numPr>
        <w:tabs>
          <w:tab w:val="clear" w:pos="720"/>
          <w:tab w:val="num" w:pos="1080"/>
        </w:tabs>
        <w:ind w:left="1080"/>
        <w:jc w:val="both"/>
        <w:rPr>
          <w:rFonts w:cstheme="minorHAnsi"/>
        </w:rPr>
      </w:pPr>
      <w:r w:rsidRPr="00B714F9">
        <w:rPr>
          <w:rFonts w:cstheme="minorHAnsi"/>
        </w:rPr>
        <w:t>Only trays of exactly the same dimensions will be used for Spreadmark certification tests.</w:t>
      </w:r>
    </w:p>
    <w:p w14:paraId="49332205" w14:textId="1ACCCC6F" w:rsidR="0006034A" w:rsidRPr="00B714F9" w:rsidRDefault="0006034A" w:rsidP="0006034A">
      <w:pPr>
        <w:ind w:left="360"/>
        <w:jc w:val="both"/>
        <w:rPr>
          <w:rFonts w:cstheme="minorHAnsi"/>
        </w:rPr>
      </w:pPr>
      <w:r>
        <w:rPr>
          <w:rFonts w:cstheme="minorHAnsi"/>
        </w:rPr>
        <w:t xml:space="preserve">Or as </w:t>
      </w:r>
      <w:r w:rsidR="00B96BBB">
        <w:rPr>
          <w:rFonts w:cstheme="minorHAnsi"/>
        </w:rPr>
        <w:t>otherwise approved by the Fertiliser Quality Council.</w:t>
      </w:r>
    </w:p>
    <w:p w14:paraId="51048CCC" w14:textId="77777777" w:rsidR="005A33FA" w:rsidRPr="00B714F9" w:rsidRDefault="005A33FA" w:rsidP="00B714F9">
      <w:pPr>
        <w:jc w:val="both"/>
        <w:rPr>
          <w:rFonts w:cstheme="minorHAnsi"/>
        </w:rPr>
      </w:pPr>
      <w:r w:rsidRPr="00B714F9">
        <w:rPr>
          <w:rFonts w:cstheme="minorHAnsi"/>
        </w:rPr>
        <w:t>For transverse distribution measurement, a single line of collectors at right angles to the direction of travel will be used. The length of the line will be sufficient to ensure the significant single pass pattern is measured. </w:t>
      </w:r>
    </w:p>
    <w:p w14:paraId="369A5CB4" w14:textId="77777777" w:rsidR="005A33FA" w:rsidRPr="00B714F9" w:rsidRDefault="005A33FA" w:rsidP="00B714F9">
      <w:pPr>
        <w:jc w:val="both"/>
        <w:rPr>
          <w:rFonts w:cstheme="minorHAnsi"/>
        </w:rPr>
      </w:pPr>
      <w:r w:rsidRPr="00B714F9">
        <w:rPr>
          <w:rFonts w:cstheme="minorHAnsi"/>
        </w:rPr>
        <w:t>Tray spacing will be at the discretion of the Tester but will not be greater than 1.0 meters. </w:t>
      </w:r>
    </w:p>
    <w:p w14:paraId="5AE34320" w14:textId="70ED3DA4" w:rsidR="005A33FA" w:rsidRPr="00B714F9" w:rsidRDefault="005A33FA" w:rsidP="00B714F9">
      <w:pPr>
        <w:jc w:val="both"/>
        <w:rPr>
          <w:rFonts w:cstheme="minorHAnsi"/>
        </w:rPr>
      </w:pPr>
      <w:r w:rsidRPr="00B714F9">
        <w:rPr>
          <w:rFonts w:cstheme="minorHAnsi"/>
        </w:rPr>
        <w:t xml:space="preserve">For border spreading measurement the collector layout </w:t>
      </w:r>
      <w:r w:rsidR="00313E03">
        <w:rPr>
          <w:rFonts w:cstheme="minorHAnsi"/>
        </w:rPr>
        <w:t>shall</w:t>
      </w:r>
      <w:r w:rsidRPr="00B714F9">
        <w:rPr>
          <w:rFonts w:cstheme="minorHAnsi"/>
        </w:rPr>
        <w:t xml:space="preserve"> be as for transverse distribution measurement except that there must be sufficient trays laid out that no nutrient is collected in the last trays, i.e., there is a clear end to the swath.</w:t>
      </w:r>
    </w:p>
    <w:p w14:paraId="5B930561" w14:textId="77777777" w:rsidR="005A33FA" w:rsidRPr="00B714F9" w:rsidRDefault="005A33FA" w:rsidP="00B714F9">
      <w:pPr>
        <w:jc w:val="both"/>
        <w:rPr>
          <w:rFonts w:cstheme="minorHAnsi"/>
        </w:rPr>
      </w:pPr>
      <w:r w:rsidRPr="00B714F9">
        <w:rPr>
          <w:rFonts w:cstheme="minorHAnsi"/>
        </w:rPr>
        <w:t>The nutrient caught in each collector will be weighed and used to produce a Spreader Performance Certificate.  (See item 10, Reporting, below).</w:t>
      </w:r>
    </w:p>
    <w:p w14:paraId="32424384" w14:textId="5862C1A6" w:rsidR="005A33FA" w:rsidRPr="00B714F9" w:rsidRDefault="005A33FA" w:rsidP="00B714F9">
      <w:pPr>
        <w:jc w:val="both"/>
        <w:rPr>
          <w:rFonts w:cstheme="minorHAnsi"/>
        </w:rPr>
      </w:pPr>
      <w:r w:rsidRPr="00B714F9">
        <w:rPr>
          <w:rFonts w:cstheme="minorHAnsi"/>
        </w:rPr>
        <w:t xml:space="preserve">When measuring transverse distribution patterns </w:t>
      </w:r>
      <w:r w:rsidR="006E55FF">
        <w:rPr>
          <w:rFonts w:cstheme="minorHAnsi"/>
        </w:rPr>
        <w:t xml:space="preserve">using ground spreaders </w:t>
      </w:r>
      <w:r w:rsidRPr="00B714F9">
        <w:rPr>
          <w:rFonts w:cstheme="minorHAnsi"/>
        </w:rPr>
        <w:t xml:space="preserve">there is a need to remove collectors to allow the spreader to pass. The weight of nutrient collected in these places </w:t>
      </w:r>
      <w:r w:rsidR="00457655">
        <w:rPr>
          <w:rFonts w:cstheme="minorHAnsi"/>
        </w:rPr>
        <w:t>shall</w:t>
      </w:r>
      <w:r w:rsidRPr="00B714F9">
        <w:rPr>
          <w:rFonts w:cstheme="minorHAnsi"/>
        </w:rPr>
        <w:t xml:space="preserve"> be deemed to be the interpolated weight from the boxes on either side of the gaps.</w:t>
      </w:r>
    </w:p>
    <w:p w14:paraId="3324DA4C" w14:textId="5FABEDEC" w:rsidR="005A33FA" w:rsidRDefault="005A33FA" w:rsidP="00B714F9">
      <w:pPr>
        <w:jc w:val="both"/>
        <w:rPr>
          <w:rFonts w:cstheme="minorHAnsi"/>
        </w:rPr>
      </w:pPr>
      <w:r w:rsidRPr="00B714F9">
        <w:rPr>
          <w:rFonts w:cstheme="minorHAnsi"/>
        </w:rPr>
        <w:t xml:space="preserve">The centre trays </w:t>
      </w:r>
      <w:r w:rsidR="00457655">
        <w:rPr>
          <w:rFonts w:cstheme="minorHAnsi"/>
        </w:rPr>
        <w:t>shall</w:t>
      </w:r>
      <w:r w:rsidRPr="00B714F9">
        <w:rPr>
          <w:rFonts w:cstheme="minorHAnsi"/>
        </w:rPr>
        <w:t xml:space="preserve"> be three boxes parallel to the direction of vehicle travel.  The weight entered into the testing software to be the average of the weights collected in the three trays.</w:t>
      </w:r>
    </w:p>
    <w:p w14:paraId="27D76A0E" w14:textId="4C3706C7" w:rsidR="005A33FA" w:rsidRDefault="00117F31" w:rsidP="00B714F9">
      <w:pPr>
        <w:jc w:val="both"/>
        <w:rPr>
          <w:rFonts w:cstheme="minorHAnsi"/>
        </w:rPr>
      </w:pPr>
      <w:r>
        <w:rPr>
          <w:rFonts w:cstheme="minorHAnsi"/>
        </w:rPr>
        <w:t xml:space="preserve">For </w:t>
      </w:r>
      <w:r w:rsidR="004B344F">
        <w:rPr>
          <w:rFonts w:cstheme="minorHAnsi"/>
        </w:rPr>
        <w:t>heli</w:t>
      </w:r>
      <w:r w:rsidR="00315AA5">
        <w:rPr>
          <w:rFonts w:cstheme="minorHAnsi"/>
        </w:rPr>
        <w:t xml:space="preserve">copters and </w:t>
      </w:r>
      <w:proofErr w:type="gramStart"/>
      <w:r w:rsidR="00315AA5">
        <w:rPr>
          <w:rFonts w:cstheme="minorHAnsi"/>
        </w:rPr>
        <w:t>UAVs</w:t>
      </w:r>
      <w:proofErr w:type="gramEnd"/>
      <w:r w:rsidR="00315AA5">
        <w:rPr>
          <w:rFonts w:cstheme="minorHAnsi"/>
        </w:rPr>
        <w:t xml:space="preserve"> the centre-line shall be entered into the GPS unit</w:t>
      </w:r>
      <w:r w:rsidR="001507F9">
        <w:rPr>
          <w:rFonts w:cstheme="minorHAnsi"/>
        </w:rPr>
        <w:t xml:space="preserve"> or marked on the ground by cones</w:t>
      </w:r>
      <w:r w:rsidR="00315AA5">
        <w:rPr>
          <w:rFonts w:cstheme="minorHAnsi"/>
        </w:rPr>
        <w:t xml:space="preserve">, taking into account any </w:t>
      </w:r>
      <w:r w:rsidR="004B7D6C">
        <w:rPr>
          <w:rFonts w:cstheme="minorHAnsi"/>
        </w:rPr>
        <w:t xml:space="preserve">effects on distribution </w:t>
      </w:r>
      <w:r w:rsidR="00514B3E">
        <w:rPr>
          <w:rFonts w:cstheme="minorHAnsi"/>
        </w:rPr>
        <w:t xml:space="preserve">pattern resulting </w:t>
      </w:r>
      <w:r w:rsidR="004B7D6C">
        <w:rPr>
          <w:rFonts w:cstheme="minorHAnsi"/>
        </w:rPr>
        <w:t>from propellor wash</w:t>
      </w:r>
      <w:r w:rsidR="00514B3E">
        <w:rPr>
          <w:rFonts w:cstheme="minorHAnsi"/>
        </w:rPr>
        <w:t>.</w:t>
      </w:r>
      <w:r w:rsidR="004B7D6C">
        <w:rPr>
          <w:rFonts w:cstheme="minorHAnsi"/>
        </w:rPr>
        <w:t xml:space="preserve"> </w:t>
      </w:r>
    </w:p>
    <w:p w14:paraId="35433E1C" w14:textId="77777777" w:rsidR="006A41A7" w:rsidRPr="006A41A7" w:rsidRDefault="006A41A7" w:rsidP="00B714F9">
      <w:pPr>
        <w:jc w:val="both"/>
        <w:rPr>
          <w:rFonts w:cstheme="minorHAnsi"/>
        </w:rPr>
      </w:pPr>
    </w:p>
    <w:p w14:paraId="0E0C69C4" w14:textId="2FCFCD41" w:rsidR="005A33FA" w:rsidRPr="00C30644" w:rsidRDefault="00DA0C99" w:rsidP="00C30644">
      <w:pPr>
        <w:pStyle w:val="ListParagraph"/>
        <w:numPr>
          <w:ilvl w:val="0"/>
          <w:numId w:val="19"/>
        </w:numPr>
        <w:jc w:val="both"/>
        <w:rPr>
          <w:rFonts w:cstheme="minorHAnsi"/>
        </w:rPr>
      </w:pPr>
      <w:r w:rsidRPr="00C30644">
        <w:rPr>
          <w:rFonts w:cstheme="minorHAnsi"/>
          <w:b/>
          <w:bCs/>
        </w:rPr>
        <w:t>MEA</w:t>
      </w:r>
      <w:r w:rsidR="00C34F20" w:rsidRPr="00C30644">
        <w:rPr>
          <w:rFonts w:cstheme="minorHAnsi"/>
          <w:b/>
          <w:bCs/>
        </w:rPr>
        <w:t>SUREMENT STANDARDS</w:t>
      </w:r>
    </w:p>
    <w:p w14:paraId="0D422D0B" w14:textId="61D350CC" w:rsidR="005A33FA" w:rsidRPr="00B714F9" w:rsidRDefault="005A33FA" w:rsidP="00B714F9">
      <w:pPr>
        <w:jc w:val="both"/>
        <w:rPr>
          <w:rFonts w:cstheme="minorHAnsi"/>
        </w:rPr>
      </w:pPr>
      <w:r w:rsidRPr="00B714F9">
        <w:rPr>
          <w:rFonts w:cstheme="minorHAnsi"/>
        </w:rPr>
        <w:t xml:space="preserve">The following measurements </w:t>
      </w:r>
      <w:r w:rsidR="003650A2">
        <w:rPr>
          <w:rFonts w:cstheme="minorHAnsi"/>
        </w:rPr>
        <w:t>shall</w:t>
      </w:r>
      <w:r w:rsidRPr="00B714F9">
        <w:rPr>
          <w:rFonts w:cstheme="minorHAnsi"/>
        </w:rPr>
        <w:t xml:space="preserve"> be made and recorded for each certification test. </w:t>
      </w:r>
    </w:p>
    <w:tbl>
      <w:tblPr>
        <w:tblW w:w="0" w:type="auto"/>
        <w:tblCellMar>
          <w:top w:w="15" w:type="dxa"/>
          <w:left w:w="15" w:type="dxa"/>
          <w:bottom w:w="15" w:type="dxa"/>
          <w:right w:w="15" w:type="dxa"/>
        </w:tblCellMar>
        <w:tblLook w:val="04A0" w:firstRow="1" w:lastRow="0" w:firstColumn="1" w:lastColumn="0" w:noHBand="0" w:noVBand="1"/>
      </w:tblPr>
      <w:tblGrid>
        <w:gridCol w:w="1972"/>
        <w:gridCol w:w="3987"/>
        <w:gridCol w:w="3057"/>
      </w:tblGrid>
      <w:tr w:rsidR="005A33FA" w:rsidRPr="00B714F9" w14:paraId="07534F5C"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3EC6B23F" w14:textId="77777777" w:rsidR="005A33FA" w:rsidRPr="00B714F9" w:rsidRDefault="005A33FA" w:rsidP="00B714F9">
            <w:pPr>
              <w:jc w:val="both"/>
              <w:rPr>
                <w:rFonts w:cstheme="minorHAnsi"/>
              </w:rPr>
            </w:pPr>
            <w:r w:rsidRPr="00B714F9">
              <w:rPr>
                <w:rFonts w:cstheme="minorHAnsi"/>
                <w:b/>
                <w:bCs/>
              </w:rPr>
              <w:t>Factor</w:t>
            </w: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67B0FE04" w14:textId="77777777" w:rsidR="005A33FA" w:rsidRPr="00B714F9" w:rsidRDefault="005A33FA" w:rsidP="00B714F9">
            <w:pPr>
              <w:jc w:val="both"/>
              <w:rPr>
                <w:rFonts w:cstheme="minorHAnsi"/>
              </w:rPr>
            </w:pPr>
            <w:r w:rsidRPr="00B714F9">
              <w:rPr>
                <w:rFonts w:cstheme="minorHAnsi"/>
                <w:b/>
                <w:bCs/>
              </w:rPr>
              <w:t>Measurement</w:t>
            </w: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0C0DC536" w14:textId="77777777" w:rsidR="005A33FA" w:rsidRPr="00B714F9" w:rsidRDefault="005A33FA" w:rsidP="00B714F9">
            <w:pPr>
              <w:jc w:val="both"/>
              <w:rPr>
                <w:rFonts w:cstheme="minorHAnsi"/>
              </w:rPr>
            </w:pPr>
            <w:r w:rsidRPr="00B714F9">
              <w:rPr>
                <w:rFonts w:cstheme="minorHAnsi"/>
                <w:b/>
                <w:bCs/>
              </w:rPr>
              <w:t>Standard</w:t>
            </w:r>
          </w:p>
        </w:tc>
      </w:tr>
      <w:tr w:rsidR="005A33FA" w:rsidRPr="00B714F9" w14:paraId="0DA12191"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2182C61" w14:textId="77777777" w:rsidR="005A33FA" w:rsidRPr="00B714F9" w:rsidRDefault="005A33FA" w:rsidP="00B714F9">
            <w:pPr>
              <w:jc w:val="both"/>
              <w:rPr>
                <w:rFonts w:cstheme="minorHAnsi"/>
              </w:rPr>
            </w:pPr>
            <w:r w:rsidRPr="00B714F9">
              <w:rPr>
                <w:rFonts w:cstheme="minorHAnsi"/>
              </w:rPr>
              <w:t>Weight of nutrient</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146B424F" w14:textId="77777777" w:rsidR="005A33FA" w:rsidRPr="00B714F9" w:rsidRDefault="005A33FA" w:rsidP="00B714F9">
            <w:pPr>
              <w:jc w:val="both"/>
              <w:rPr>
                <w:rFonts w:cstheme="minorHAnsi"/>
              </w:rPr>
            </w:pPr>
            <w:r w:rsidRPr="00B714F9">
              <w:rPr>
                <w:rFonts w:cstheme="minorHAnsi"/>
              </w:rPr>
              <w:t>gm/collector</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71DB8599" w14:textId="77777777" w:rsidR="005A33FA" w:rsidRPr="00B714F9" w:rsidRDefault="005A33FA" w:rsidP="00B714F9">
            <w:pPr>
              <w:jc w:val="both"/>
              <w:rPr>
                <w:rFonts w:cstheme="minorHAnsi"/>
              </w:rPr>
            </w:pPr>
            <w:r w:rsidRPr="00B714F9">
              <w:rPr>
                <w:rFonts w:cstheme="minorHAnsi"/>
              </w:rPr>
              <w:t>Scales accurate to +/- 0.1 gm</w:t>
            </w:r>
          </w:p>
        </w:tc>
      </w:tr>
      <w:tr w:rsidR="005A33FA" w:rsidRPr="00B714F9" w14:paraId="211FA618"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9916933" w14:textId="77777777" w:rsidR="005A33FA" w:rsidRPr="00B714F9" w:rsidRDefault="005A33FA" w:rsidP="00B714F9">
            <w:pPr>
              <w:jc w:val="both"/>
              <w:rPr>
                <w:rFonts w:cstheme="minorHAnsi"/>
              </w:rPr>
            </w:pPr>
            <w:r w:rsidRPr="00B714F9">
              <w:rPr>
                <w:rFonts w:cstheme="minorHAnsi"/>
              </w:rPr>
              <w:t xml:space="preserve">Application rate </w:t>
            </w:r>
            <w:r w:rsidRPr="00B714F9">
              <w:rPr>
                <w:rFonts w:cstheme="minorHAnsi"/>
                <w:vertAlign w:val="superscript"/>
              </w:rPr>
              <w:t>1</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5A7DCC33" w14:textId="77777777" w:rsidR="005A33FA" w:rsidRPr="00B714F9" w:rsidRDefault="005A33FA" w:rsidP="00B714F9">
            <w:pPr>
              <w:jc w:val="both"/>
              <w:rPr>
                <w:rFonts w:cstheme="minorHAnsi"/>
              </w:rPr>
            </w:pPr>
            <w:r w:rsidRPr="00B714F9">
              <w:rPr>
                <w:rFonts w:cstheme="minorHAnsi"/>
              </w:rPr>
              <w:t>kg/ha</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270FB857" w14:textId="7F8483DB" w:rsidR="005A33FA" w:rsidRPr="00B714F9" w:rsidRDefault="00ED6449" w:rsidP="00B714F9">
            <w:pPr>
              <w:jc w:val="both"/>
              <w:rPr>
                <w:rFonts w:cstheme="minorHAnsi"/>
              </w:rPr>
            </w:pPr>
            <w:proofErr w:type="gramStart"/>
            <w:r>
              <w:rPr>
                <w:rFonts w:cstheme="minorHAnsi"/>
              </w:rPr>
              <w:t>G</w:t>
            </w:r>
            <w:r w:rsidR="005A33FA" w:rsidRPr="00B714F9">
              <w:rPr>
                <w:rFonts w:cstheme="minorHAnsi"/>
              </w:rPr>
              <w:t>enerally</w:t>
            </w:r>
            <w:proofErr w:type="gramEnd"/>
            <w:r w:rsidR="005A33FA" w:rsidRPr="00B714F9">
              <w:rPr>
                <w:rFonts w:cstheme="minorHAnsi"/>
              </w:rPr>
              <w:t xml:space="preserve"> within 30% of set rate</w:t>
            </w:r>
          </w:p>
        </w:tc>
      </w:tr>
      <w:tr w:rsidR="005A33FA" w:rsidRPr="00B714F9" w14:paraId="65D7709A"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56339AF1" w14:textId="77777777" w:rsidR="005A33FA" w:rsidRPr="00B714F9" w:rsidRDefault="005A33FA" w:rsidP="00B714F9">
            <w:pPr>
              <w:jc w:val="both"/>
              <w:rPr>
                <w:rFonts w:cstheme="minorHAnsi"/>
              </w:rPr>
            </w:pPr>
            <w:r w:rsidRPr="00B714F9">
              <w:rPr>
                <w:rFonts w:cstheme="minorHAnsi"/>
              </w:rPr>
              <w:lastRenderedPageBreak/>
              <w:t>Transverse distribution</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14CC008C" w14:textId="77777777" w:rsidR="005A33FA" w:rsidRPr="00B714F9" w:rsidRDefault="005A33FA" w:rsidP="00B714F9">
            <w:pPr>
              <w:jc w:val="both"/>
              <w:rPr>
                <w:rFonts w:cstheme="minorHAnsi"/>
              </w:rPr>
            </w:pPr>
            <w:r w:rsidRPr="00B714F9">
              <w:rPr>
                <w:rFonts w:cstheme="minorHAnsi"/>
              </w:rPr>
              <w:t>Coefficient of Variation</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713DAB09" w14:textId="77777777" w:rsidR="005A33FA" w:rsidRPr="00B714F9" w:rsidRDefault="005A33FA" w:rsidP="00B714F9">
            <w:pPr>
              <w:jc w:val="both"/>
              <w:rPr>
                <w:rFonts w:cstheme="minorHAnsi"/>
              </w:rPr>
            </w:pPr>
            <w:r w:rsidRPr="00B714F9">
              <w:rPr>
                <w:rFonts w:cstheme="minorHAnsi"/>
              </w:rPr>
              <w:t>&lt; 15% for N nutrients and 25% for all others</w:t>
            </w:r>
          </w:p>
        </w:tc>
      </w:tr>
      <w:tr w:rsidR="005A33FA" w:rsidRPr="00B714F9" w14:paraId="68F6A324"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1507B95C" w14:textId="77777777" w:rsidR="005A33FA" w:rsidRPr="00B714F9" w:rsidRDefault="005A33FA" w:rsidP="00B714F9">
            <w:pPr>
              <w:jc w:val="both"/>
              <w:rPr>
                <w:rFonts w:cstheme="minorHAnsi"/>
              </w:rPr>
            </w:pPr>
            <w:r w:rsidRPr="00B714F9">
              <w:rPr>
                <w:rFonts w:cstheme="minorHAnsi"/>
              </w:rPr>
              <w:t>Longitudinal distribution</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645ECA19" w14:textId="77777777" w:rsidR="005A33FA" w:rsidRPr="00B714F9" w:rsidRDefault="005A33FA" w:rsidP="00B714F9">
            <w:pPr>
              <w:jc w:val="both"/>
              <w:rPr>
                <w:rFonts w:cstheme="minorHAnsi"/>
              </w:rPr>
            </w:pPr>
            <w:r w:rsidRPr="00B714F9">
              <w:rPr>
                <w:rFonts w:cstheme="minorHAnsi"/>
              </w:rPr>
              <w:t>Coefficient of Variation</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237C0C75" w14:textId="77777777" w:rsidR="005A33FA" w:rsidRPr="00B714F9" w:rsidRDefault="005A33FA" w:rsidP="00B714F9">
            <w:pPr>
              <w:jc w:val="both"/>
              <w:rPr>
                <w:rFonts w:cstheme="minorHAnsi"/>
              </w:rPr>
            </w:pPr>
            <w:r w:rsidRPr="00B714F9">
              <w:rPr>
                <w:rFonts w:cstheme="minorHAnsi"/>
              </w:rPr>
              <w:t>To be advised in future when limits are applied</w:t>
            </w:r>
          </w:p>
        </w:tc>
      </w:tr>
      <w:tr w:rsidR="005A33FA" w:rsidRPr="00B714F9" w14:paraId="6949B998" w14:textId="77777777" w:rsidTr="004D182C">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58DD9696" w14:textId="77777777" w:rsidR="005A33FA" w:rsidRPr="00B714F9" w:rsidRDefault="005A33FA" w:rsidP="00B714F9">
            <w:pPr>
              <w:jc w:val="both"/>
              <w:rPr>
                <w:rFonts w:cstheme="minorHAnsi"/>
              </w:rPr>
            </w:pPr>
            <w:r w:rsidRPr="00B714F9">
              <w:rPr>
                <w:rFonts w:cstheme="minorHAnsi"/>
              </w:rPr>
              <w:t>Border spreading</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47E6D1A8" w14:textId="77777777" w:rsidR="005A33FA" w:rsidRPr="00B714F9" w:rsidRDefault="005A33FA" w:rsidP="00B714F9">
            <w:pPr>
              <w:jc w:val="both"/>
              <w:rPr>
                <w:rFonts w:cstheme="minorHAnsi"/>
              </w:rPr>
            </w:pPr>
            <w:r w:rsidRPr="00B714F9">
              <w:rPr>
                <w:rFonts w:cstheme="minorHAnsi"/>
              </w:rPr>
              <w:t>Distance from spreader to pattern edge and shape of pattern</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7D05F9B6" w14:textId="77777777" w:rsidR="005A33FA" w:rsidRPr="00B714F9" w:rsidRDefault="005A33FA" w:rsidP="00B714F9">
            <w:pPr>
              <w:jc w:val="both"/>
              <w:rPr>
                <w:rFonts w:cstheme="minorHAnsi"/>
              </w:rPr>
            </w:pPr>
            <w:r w:rsidRPr="00B714F9">
              <w:rPr>
                <w:rFonts w:cstheme="minorHAnsi"/>
              </w:rPr>
              <w:t>N/A</w:t>
            </w:r>
          </w:p>
        </w:tc>
      </w:tr>
    </w:tbl>
    <w:p w14:paraId="0C5E72F5" w14:textId="77777777" w:rsidR="009F6F04" w:rsidRDefault="005A33FA" w:rsidP="009F6F04">
      <w:pPr>
        <w:spacing w:after="0" w:line="240" w:lineRule="auto"/>
        <w:jc w:val="both"/>
        <w:rPr>
          <w:rFonts w:cstheme="minorHAnsi"/>
        </w:rPr>
      </w:pPr>
      <w:r w:rsidRPr="00B714F9">
        <w:rPr>
          <w:rFonts w:cstheme="minorHAnsi"/>
          <w:b/>
          <w:bCs/>
        </w:rPr>
        <w:t>Notes</w:t>
      </w:r>
      <w:r w:rsidRPr="00B714F9">
        <w:rPr>
          <w:rFonts w:cstheme="minorHAnsi"/>
        </w:rPr>
        <w:tab/>
      </w:r>
    </w:p>
    <w:p w14:paraId="4C61ED6F" w14:textId="1E1E52E2" w:rsidR="005A33FA" w:rsidRPr="00B714F9" w:rsidRDefault="005A33FA" w:rsidP="005531EF">
      <w:pPr>
        <w:spacing w:after="0" w:line="240" w:lineRule="auto"/>
        <w:jc w:val="both"/>
        <w:rPr>
          <w:rFonts w:cstheme="minorHAnsi"/>
        </w:rPr>
      </w:pPr>
      <w:r w:rsidRPr="00B714F9">
        <w:rPr>
          <w:rFonts w:cstheme="minorHAnsi"/>
          <w:vertAlign w:val="superscript"/>
        </w:rPr>
        <w:t>1</w:t>
      </w:r>
      <w:r w:rsidRPr="005531EF">
        <w:rPr>
          <w:rFonts w:cstheme="minorHAnsi"/>
          <w:sz w:val="18"/>
          <w:szCs w:val="18"/>
        </w:rPr>
        <w:t>Where the measured application rate varies from the set application rate varies from the set application rate by more than 30% then the collected information should be reassessed.</w:t>
      </w:r>
    </w:p>
    <w:p w14:paraId="63DEA6C5" w14:textId="77777777" w:rsidR="005A33FA" w:rsidRPr="00B714F9" w:rsidRDefault="005A33FA" w:rsidP="00B714F9">
      <w:pPr>
        <w:jc w:val="both"/>
        <w:rPr>
          <w:rFonts w:cstheme="minorHAnsi"/>
        </w:rPr>
      </w:pPr>
    </w:p>
    <w:p w14:paraId="6FB0BF89" w14:textId="07F195C2" w:rsidR="005A33FA" w:rsidRPr="00B714F9" w:rsidRDefault="005A33FA" w:rsidP="00B714F9">
      <w:pPr>
        <w:jc w:val="both"/>
        <w:rPr>
          <w:rFonts w:cstheme="minorHAnsi"/>
        </w:rPr>
      </w:pPr>
      <w:r w:rsidRPr="00B714F9">
        <w:rPr>
          <w:rFonts w:cstheme="minorHAnsi"/>
          <w:b/>
          <w:bCs/>
        </w:rPr>
        <w:t>7.</w:t>
      </w:r>
      <w:r w:rsidRPr="00B714F9">
        <w:rPr>
          <w:rFonts w:cstheme="minorHAnsi"/>
          <w:b/>
          <w:bCs/>
        </w:rPr>
        <w:tab/>
      </w:r>
      <w:r w:rsidR="007C4860">
        <w:rPr>
          <w:rFonts w:cstheme="minorHAnsi"/>
          <w:b/>
          <w:bCs/>
        </w:rPr>
        <w:t>SCHEDULE OF TESTS</w:t>
      </w:r>
    </w:p>
    <w:p w14:paraId="6AB0E127" w14:textId="6FB29694" w:rsidR="005A33FA" w:rsidRPr="00B714F9" w:rsidRDefault="005A33FA" w:rsidP="00B714F9">
      <w:pPr>
        <w:jc w:val="both"/>
        <w:rPr>
          <w:rFonts w:cstheme="minorHAnsi"/>
        </w:rPr>
      </w:pPr>
      <w:r w:rsidRPr="00B714F9">
        <w:rPr>
          <w:rFonts w:cstheme="minorHAnsi"/>
        </w:rPr>
        <w:t xml:space="preserve">The following tests </w:t>
      </w:r>
      <w:r w:rsidR="00C21943">
        <w:rPr>
          <w:rFonts w:cstheme="minorHAnsi"/>
        </w:rPr>
        <w:t>shall</w:t>
      </w:r>
      <w:r w:rsidRPr="00B714F9">
        <w:rPr>
          <w:rFonts w:cstheme="minorHAnsi"/>
        </w:rPr>
        <w:t xml:space="preserve"> be conducted:</w:t>
      </w:r>
    </w:p>
    <w:p w14:paraId="4C865BCC" w14:textId="597C6F09" w:rsidR="00F10154" w:rsidRDefault="005A33FA" w:rsidP="00B714F9">
      <w:pPr>
        <w:numPr>
          <w:ilvl w:val="0"/>
          <w:numId w:val="17"/>
        </w:numPr>
        <w:jc w:val="both"/>
        <w:rPr>
          <w:rFonts w:cstheme="minorHAnsi"/>
        </w:rPr>
      </w:pPr>
      <w:r w:rsidRPr="00B714F9">
        <w:rPr>
          <w:rFonts w:cstheme="minorHAnsi"/>
        </w:rPr>
        <w:t>Transverse distribution tests - all nutrient products certified</w:t>
      </w:r>
      <w:r w:rsidR="00F10154">
        <w:rPr>
          <w:rFonts w:cstheme="minorHAnsi"/>
        </w:rPr>
        <w:t>;</w:t>
      </w:r>
    </w:p>
    <w:p w14:paraId="76F5AFB3" w14:textId="3147A6E0" w:rsidR="005A33FA" w:rsidRPr="00F10154" w:rsidRDefault="005A33FA" w:rsidP="00B714F9">
      <w:pPr>
        <w:numPr>
          <w:ilvl w:val="0"/>
          <w:numId w:val="17"/>
        </w:numPr>
        <w:jc w:val="both"/>
        <w:rPr>
          <w:rFonts w:cstheme="minorHAnsi"/>
        </w:rPr>
      </w:pPr>
      <w:r w:rsidRPr="00F10154">
        <w:rPr>
          <w:rFonts w:cstheme="minorHAnsi"/>
        </w:rPr>
        <w:t xml:space="preserve">Product description - SGN, UI and BD measurements </w:t>
      </w:r>
      <w:r w:rsidR="00CB4E79">
        <w:rPr>
          <w:rFonts w:cstheme="minorHAnsi"/>
        </w:rPr>
        <w:t>shall</w:t>
      </w:r>
      <w:r w:rsidRPr="00F10154">
        <w:rPr>
          <w:rFonts w:cstheme="minorHAnsi"/>
        </w:rPr>
        <w:t xml:space="preserve"> be carried out on samples of all products used.</w:t>
      </w:r>
    </w:p>
    <w:p w14:paraId="4A624FE7" w14:textId="397214D5" w:rsidR="005A33FA" w:rsidRPr="00B714F9" w:rsidRDefault="005A33FA" w:rsidP="00B714F9">
      <w:pPr>
        <w:jc w:val="both"/>
        <w:rPr>
          <w:rFonts w:cstheme="minorHAnsi"/>
          <w:b/>
          <w:bCs/>
        </w:rPr>
      </w:pPr>
    </w:p>
    <w:p w14:paraId="38A01DB8" w14:textId="336B6343" w:rsidR="005A33FA" w:rsidRPr="00B714F9" w:rsidRDefault="005A33FA" w:rsidP="00B714F9">
      <w:pPr>
        <w:jc w:val="both"/>
        <w:rPr>
          <w:rFonts w:cstheme="minorHAnsi"/>
          <w:b/>
          <w:bCs/>
        </w:rPr>
      </w:pPr>
      <w:r w:rsidRPr="00B714F9">
        <w:rPr>
          <w:rFonts w:cstheme="minorHAnsi"/>
          <w:b/>
          <w:bCs/>
        </w:rPr>
        <w:t>8.</w:t>
      </w:r>
      <w:r w:rsidRPr="00B714F9">
        <w:rPr>
          <w:rFonts w:cstheme="minorHAnsi"/>
          <w:b/>
          <w:bCs/>
        </w:rPr>
        <w:tab/>
      </w:r>
      <w:r w:rsidR="007C4860">
        <w:rPr>
          <w:rFonts w:cstheme="minorHAnsi"/>
          <w:b/>
          <w:bCs/>
        </w:rPr>
        <w:t>FIELD REPORT</w:t>
      </w:r>
    </w:p>
    <w:p w14:paraId="71A0FCA6" w14:textId="77777777" w:rsidR="005A33FA" w:rsidRPr="00B714F9" w:rsidRDefault="005A33FA" w:rsidP="00B714F9">
      <w:pPr>
        <w:jc w:val="both"/>
        <w:rPr>
          <w:rFonts w:cstheme="minorHAnsi"/>
        </w:rPr>
      </w:pPr>
      <w:r w:rsidRPr="00B714F9">
        <w:rPr>
          <w:rFonts w:cstheme="minorHAnsi"/>
        </w:rPr>
        <w:t>The following records will be kept for each test:</w:t>
      </w:r>
    </w:p>
    <w:tbl>
      <w:tblPr>
        <w:tblW w:w="8527" w:type="dxa"/>
        <w:tblCellMar>
          <w:top w:w="15" w:type="dxa"/>
          <w:left w:w="15" w:type="dxa"/>
          <w:bottom w:w="15" w:type="dxa"/>
          <w:right w:w="15" w:type="dxa"/>
        </w:tblCellMar>
        <w:tblLook w:val="04A0" w:firstRow="1" w:lastRow="0" w:firstColumn="1" w:lastColumn="0" w:noHBand="0" w:noVBand="1"/>
      </w:tblPr>
      <w:tblGrid>
        <w:gridCol w:w="2646"/>
        <w:gridCol w:w="1757"/>
        <w:gridCol w:w="1033"/>
        <w:gridCol w:w="1175"/>
        <w:gridCol w:w="1138"/>
        <w:gridCol w:w="778"/>
      </w:tblGrid>
      <w:tr w:rsidR="005A33FA" w:rsidRPr="00B714F9" w14:paraId="343BC2BF" w14:textId="77777777" w:rsidTr="004D182C">
        <w:trPr>
          <w:trHeight w:val="530"/>
        </w:trPr>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48096038" w14:textId="77777777"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Identification</w:t>
            </w: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2ABD1E2F" w14:textId="77777777" w:rsidR="005A33FA" w:rsidRPr="00B714F9" w:rsidRDefault="005A33FA" w:rsidP="00B714F9">
            <w:pPr>
              <w:spacing w:before="120" w:after="12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Date:</w:t>
            </w:r>
          </w:p>
        </w:tc>
      </w:tr>
      <w:tr w:rsidR="005A33FA" w:rsidRPr="00B714F9" w14:paraId="613EDC11"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3AAF2C6"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00308A86"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Operator:</w:t>
            </w:r>
          </w:p>
        </w:tc>
      </w:tr>
      <w:tr w:rsidR="005A33FA" w:rsidRPr="00B714F9" w14:paraId="586C0F6E"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438D6A85"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233C3939" w14:textId="24D9A3A3" w:rsidR="005A33FA" w:rsidRPr="00B714F9" w:rsidRDefault="00F325A7" w:rsidP="00B714F9">
            <w:pPr>
              <w:spacing w:before="60" w:after="120" w:line="240" w:lineRule="auto"/>
              <w:jc w:val="both"/>
              <w:rPr>
                <w:rFonts w:eastAsia="Times New Roman" w:cstheme="minorHAnsi"/>
                <w:kern w:val="0"/>
                <w:lang w:eastAsia="en-NZ"/>
                <w14:ligatures w14:val="none"/>
              </w:rPr>
            </w:pPr>
            <w:r>
              <w:rPr>
                <w:rFonts w:eastAsia="Times New Roman" w:cstheme="minorHAnsi"/>
                <w:color w:val="000000"/>
                <w:kern w:val="0"/>
                <w:lang w:eastAsia="en-NZ"/>
                <w14:ligatures w14:val="none"/>
              </w:rPr>
              <w:t xml:space="preserve">Spreading </w:t>
            </w:r>
            <w:r w:rsidR="006876E8">
              <w:rPr>
                <w:rFonts w:eastAsia="Times New Roman" w:cstheme="minorHAnsi"/>
                <w:color w:val="000000"/>
                <w:kern w:val="0"/>
                <w:lang w:eastAsia="en-NZ"/>
                <w14:ligatures w14:val="none"/>
              </w:rPr>
              <w:t>Unit</w:t>
            </w:r>
            <w:r>
              <w:rPr>
                <w:rFonts w:eastAsia="Times New Roman" w:cstheme="minorHAnsi"/>
                <w:color w:val="000000"/>
                <w:kern w:val="0"/>
                <w:lang w:eastAsia="en-NZ"/>
                <w14:ligatures w14:val="none"/>
              </w:rPr>
              <w:t xml:space="preserve"> </w:t>
            </w:r>
            <w:r w:rsidR="00475362">
              <w:rPr>
                <w:rFonts w:eastAsia="Times New Roman" w:cstheme="minorHAnsi"/>
                <w:color w:val="000000"/>
                <w:kern w:val="0"/>
                <w:lang w:eastAsia="en-NZ"/>
                <w14:ligatures w14:val="none"/>
              </w:rPr>
              <w:t>U</w:t>
            </w:r>
            <w:r>
              <w:rPr>
                <w:rFonts w:eastAsia="Times New Roman" w:cstheme="minorHAnsi"/>
                <w:color w:val="000000"/>
                <w:kern w:val="0"/>
                <w:lang w:eastAsia="en-NZ"/>
                <w14:ligatures w14:val="none"/>
              </w:rPr>
              <w:t xml:space="preserve">nique </w:t>
            </w:r>
            <w:r w:rsidR="00475362">
              <w:rPr>
                <w:rFonts w:eastAsia="Times New Roman" w:cstheme="minorHAnsi"/>
                <w:color w:val="000000"/>
                <w:kern w:val="0"/>
                <w:lang w:eastAsia="en-NZ"/>
                <w14:ligatures w14:val="none"/>
              </w:rPr>
              <w:t>I</w:t>
            </w:r>
            <w:r>
              <w:rPr>
                <w:rFonts w:eastAsia="Times New Roman" w:cstheme="minorHAnsi"/>
                <w:color w:val="000000"/>
                <w:kern w:val="0"/>
                <w:lang w:eastAsia="en-NZ"/>
                <w14:ligatures w14:val="none"/>
              </w:rPr>
              <w:t>dentifie</w:t>
            </w:r>
            <w:r w:rsidR="00E46902">
              <w:rPr>
                <w:rFonts w:eastAsia="Times New Roman" w:cstheme="minorHAnsi"/>
                <w:color w:val="000000"/>
                <w:kern w:val="0"/>
                <w:lang w:eastAsia="en-NZ"/>
                <w14:ligatures w14:val="none"/>
              </w:rPr>
              <w:t>r</w:t>
            </w:r>
            <w:r w:rsidR="005A33FA" w:rsidRPr="00B714F9">
              <w:rPr>
                <w:rFonts w:eastAsia="Times New Roman" w:cstheme="minorHAnsi"/>
                <w:color w:val="000000"/>
                <w:kern w:val="0"/>
                <w:lang w:eastAsia="en-NZ"/>
                <w14:ligatures w14:val="none"/>
              </w:rPr>
              <w:t>:</w:t>
            </w:r>
          </w:p>
        </w:tc>
      </w:tr>
      <w:tr w:rsidR="005A33FA" w:rsidRPr="00B714F9" w14:paraId="6564CFF6"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4498D2FE"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35E3208F"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Technician:</w:t>
            </w:r>
          </w:p>
        </w:tc>
      </w:tr>
      <w:tr w:rsidR="005A33FA" w:rsidRPr="00B714F9" w14:paraId="10EDF212"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678AEB2E"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576D233E"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Location:</w:t>
            </w:r>
          </w:p>
        </w:tc>
      </w:tr>
      <w:tr w:rsidR="005A33FA" w:rsidRPr="00B714F9" w14:paraId="0F2D19DC"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136C4946"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Facilities</w:t>
            </w: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3C43C6C4"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Indoor / outdoor:</w:t>
            </w:r>
          </w:p>
        </w:tc>
      </w:tr>
      <w:tr w:rsidR="005A33FA" w:rsidRPr="00B714F9" w14:paraId="56297321" w14:textId="77777777" w:rsidTr="004D182C">
        <w:trPr>
          <w:trHeight w:val="44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5045B96E"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1DE786C2"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Size of venue:</w:t>
            </w:r>
          </w:p>
        </w:tc>
      </w:tr>
      <w:tr w:rsidR="005A33FA" w:rsidRPr="00B714F9" w14:paraId="4567AD23"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0F328ABD"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21012EA8"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Slope:</w:t>
            </w:r>
          </w:p>
        </w:tc>
      </w:tr>
      <w:tr w:rsidR="005A33FA" w:rsidRPr="00B714F9" w14:paraId="27F55960"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3569E3D8"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3A569DED"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Wind speed:</w:t>
            </w:r>
          </w:p>
        </w:tc>
      </w:tr>
      <w:tr w:rsidR="005A33FA" w:rsidRPr="00B714F9" w14:paraId="193F0997"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0A728E45"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67C8B119"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Direction in relation to wind: </w:t>
            </w:r>
          </w:p>
        </w:tc>
      </w:tr>
      <w:tr w:rsidR="005A33FA" w:rsidRPr="00B714F9" w14:paraId="2832652A"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25FA2D9"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Test Products</w:t>
            </w:r>
          </w:p>
        </w:tc>
        <w:tc>
          <w:tcPr>
            <w:tcW w:w="0" w:type="auto"/>
            <w:tcBorders>
              <w:top w:val="single" w:sz="4" w:space="0" w:color="4F6228"/>
              <w:left w:val="single" w:sz="4" w:space="0" w:color="4F6228"/>
              <w:bottom w:val="single" w:sz="4" w:space="0" w:color="4F6228"/>
              <w:right w:val="single" w:sz="4" w:space="0" w:color="000000"/>
            </w:tcBorders>
            <w:shd w:val="clear" w:color="auto" w:fill="D7E3BC"/>
            <w:tcMar>
              <w:top w:w="0" w:type="dxa"/>
              <w:left w:w="108" w:type="dxa"/>
              <w:bottom w:w="0" w:type="dxa"/>
              <w:right w:w="108" w:type="dxa"/>
            </w:tcMar>
            <w:vAlign w:val="center"/>
            <w:hideMark/>
          </w:tcPr>
          <w:p w14:paraId="49F73320"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4F6228"/>
              <w:left w:val="single" w:sz="4" w:space="0" w:color="000000"/>
              <w:bottom w:val="single" w:sz="4" w:space="0" w:color="4F6228"/>
              <w:right w:val="single" w:sz="4" w:space="0" w:color="000000"/>
            </w:tcBorders>
            <w:shd w:val="clear" w:color="auto" w:fill="D7E3BC"/>
            <w:tcMar>
              <w:top w:w="0" w:type="dxa"/>
              <w:left w:w="108" w:type="dxa"/>
              <w:bottom w:w="0" w:type="dxa"/>
              <w:right w:w="108" w:type="dxa"/>
            </w:tcMar>
            <w:vAlign w:val="center"/>
            <w:hideMark/>
          </w:tcPr>
          <w:p w14:paraId="2B7139BA"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Rate</w:t>
            </w:r>
          </w:p>
        </w:tc>
        <w:tc>
          <w:tcPr>
            <w:tcW w:w="1175" w:type="dxa"/>
            <w:tcBorders>
              <w:top w:val="single" w:sz="4" w:space="0" w:color="4F6228"/>
              <w:left w:val="single" w:sz="4" w:space="0" w:color="000000"/>
              <w:bottom w:val="single" w:sz="4" w:space="0" w:color="4F6228"/>
              <w:right w:val="single" w:sz="4" w:space="0" w:color="000000"/>
            </w:tcBorders>
            <w:shd w:val="clear" w:color="auto" w:fill="D7E3BC"/>
            <w:tcMar>
              <w:top w:w="0" w:type="dxa"/>
              <w:left w:w="108" w:type="dxa"/>
              <w:bottom w:w="0" w:type="dxa"/>
              <w:right w:w="108" w:type="dxa"/>
            </w:tcMar>
            <w:vAlign w:val="center"/>
            <w:hideMark/>
          </w:tcPr>
          <w:p w14:paraId="31C06C03"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SGN</w:t>
            </w:r>
          </w:p>
        </w:tc>
        <w:tc>
          <w:tcPr>
            <w:tcW w:w="1138"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vAlign w:val="center"/>
            <w:hideMark/>
          </w:tcPr>
          <w:p w14:paraId="3DFC87F5"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UI</w:t>
            </w:r>
          </w:p>
        </w:tc>
        <w:tc>
          <w:tcPr>
            <w:tcW w:w="0" w:type="auto"/>
            <w:tcBorders>
              <w:top w:val="single" w:sz="4" w:space="0" w:color="000000"/>
              <w:left w:val="single" w:sz="4" w:space="0" w:color="000000"/>
              <w:bottom w:val="single" w:sz="4" w:space="0" w:color="000000"/>
              <w:right w:val="single" w:sz="4" w:space="0" w:color="4F6228"/>
            </w:tcBorders>
            <w:shd w:val="clear" w:color="auto" w:fill="D7E3BC"/>
            <w:tcMar>
              <w:top w:w="0" w:type="dxa"/>
              <w:left w:w="108" w:type="dxa"/>
              <w:bottom w:w="0" w:type="dxa"/>
              <w:right w:w="108" w:type="dxa"/>
            </w:tcMar>
            <w:vAlign w:val="center"/>
            <w:hideMark/>
          </w:tcPr>
          <w:p w14:paraId="1BF885D1"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DB</w:t>
            </w:r>
          </w:p>
        </w:tc>
      </w:tr>
      <w:tr w:rsidR="005A33FA" w:rsidRPr="00B714F9" w14:paraId="244DFE94" w14:textId="77777777" w:rsidTr="004D182C">
        <w:trPr>
          <w:trHeight w:val="3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305FC59D"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652CEB34"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1</w:t>
            </w: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07481B90"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75" w:type="dxa"/>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7456057A"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38"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231D12EE"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000000"/>
              <w:left w:val="single" w:sz="4" w:space="0" w:color="000000"/>
              <w:bottom w:val="single" w:sz="4" w:space="0" w:color="000000"/>
              <w:right w:val="single" w:sz="4" w:space="0" w:color="4F6228"/>
            </w:tcBorders>
            <w:shd w:val="clear" w:color="auto" w:fill="EBF1DD"/>
            <w:tcMar>
              <w:top w:w="0" w:type="dxa"/>
              <w:left w:w="108" w:type="dxa"/>
              <w:bottom w:w="0" w:type="dxa"/>
              <w:right w:w="108" w:type="dxa"/>
            </w:tcMar>
            <w:vAlign w:val="center"/>
            <w:hideMark/>
          </w:tcPr>
          <w:p w14:paraId="2D6C06CF" w14:textId="77777777" w:rsidR="005A33FA" w:rsidRPr="00B714F9" w:rsidRDefault="005A33FA" w:rsidP="00B714F9">
            <w:pPr>
              <w:spacing w:after="0" w:line="240" w:lineRule="auto"/>
              <w:jc w:val="both"/>
              <w:rPr>
                <w:rFonts w:eastAsia="Times New Roman" w:cstheme="minorHAnsi"/>
                <w:kern w:val="0"/>
                <w:lang w:eastAsia="en-NZ"/>
                <w14:ligatures w14:val="none"/>
              </w:rPr>
            </w:pPr>
          </w:p>
        </w:tc>
      </w:tr>
      <w:tr w:rsidR="005A33FA" w:rsidRPr="00B714F9" w14:paraId="728BF710" w14:textId="77777777" w:rsidTr="004D182C">
        <w:trPr>
          <w:trHeight w:val="3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5F2C4343"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401D56D4"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2</w:t>
            </w: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4098D5A9"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75" w:type="dxa"/>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42499BA5"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38"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1CE4EE52"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000000"/>
              <w:left w:val="single" w:sz="4" w:space="0" w:color="000000"/>
              <w:bottom w:val="single" w:sz="4" w:space="0" w:color="000000"/>
              <w:right w:val="single" w:sz="4" w:space="0" w:color="4F6228"/>
            </w:tcBorders>
            <w:shd w:val="clear" w:color="auto" w:fill="EBF1DD"/>
            <w:tcMar>
              <w:top w:w="0" w:type="dxa"/>
              <w:left w:w="108" w:type="dxa"/>
              <w:bottom w:w="0" w:type="dxa"/>
              <w:right w:w="108" w:type="dxa"/>
            </w:tcMar>
            <w:vAlign w:val="center"/>
            <w:hideMark/>
          </w:tcPr>
          <w:p w14:paraId="1597906A" w14:textId="77777777" w:rsidR="005A33FA" w:rsidRPr="00B714F9" w:rsidRDefault="005A33FA" w:rsidP="00B714F9">
            <w:pPr>
              <w:spacing w:after="0" w:line="240" w:lineRule="auto"/>
              <w:jc w:val="both"/>
              <w:rPr>
                <w:rFonts w:eastAsia="Times New Roman" w:cstheme="minorHAnsi"/>
                <w:kern w:val="0"/>
                <w:lang w:eastAsia="en-NZ"/>
                <w14:ligatures w14:val="none"/>
              </w:rPr>
            </w:pPr>
          </w:p>
        </w:tc>
      </w:tr>
      <w:tr w:rsidR="005A33FA" w:rsidRPr="00B714F9" w14:paraId="36C62EBA" w14:textId="77777777" w:rsidTr="004D182C">
        <w:trPr>
          <w:trHeight w:val="34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E9228BB"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48317AF4"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3</w:t>
            </w: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2D46C792"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75" w:type="dxa"/>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0F62F938"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38"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62FF9044"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000000"/>
              <w:left w:val="single" w:sz="4" w:space="0" w:color="000000"/>
              <w:bottom w:val="single" w:sz="4" w:space="0" w:color="000000"/>
              <w:right w:val="single" w:sz="4" w:space="0" w:color="4F6228"/>
            </w:tcBorders>
            <w:shd w:val="clear" w:color="auto" w:fill="EBF1DD"/>
            <w:tcMar>
              <w:top w:w="0" w:type="dxa"/>
              <w:left w:w="108" w:type="dxa"/>
              <w:bottom w:w="0" w:type="dxa"/>
              <w:right w:w="108" w:type="dxa"/>
            </w:tcMar>
            <w:vAlign w:val="center"/>
            <w:hideMark/>
          </w:tcPr>
          <w:p w14:paraId="014E6004" w14:textId="77777777" w:rsidR="005A33FA" w:rsidRPr="00B714F9" w:rsidRDefault="005A33FA" w:rsidP="00B714F9">
            <w:pPr>
              <w:spacing w:after="0" w:line="240" w:lineRule="auto"/>
              <w:jc w:val="both"/>
              <w:rPr>
                <w:rFonts w:eastAsia="Times New Roman" w:cstheme="minorHAnsi"/>
                <w:kern w:val="0"/>
                <w:lang w:eastAsia="en-NZ"/>
                <w14:ligatures w14:val="none"/>
              </w:rPr>
            </w:pPr>
          </w:p>
        </w:tc>
      </w:tr>
      <w:tr w:rsidR="005A33FA" w:rsidRPr="00B714F9" w14:paraId="70E73EE4" w14:textId="77777777" w:rsidTr="004D182C">
        <w:trPr>
          <w:trHeight w:val="3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6BFB7507"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28C58295"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4</w:t>
            </w: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3C2F5D7B"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75" w:type="dxa"/>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0021F8E0"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38"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32555DE7"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000000"/>
              <w:left w:val="single" w:sz="4" w:space="0" w:color="000000"/>
              <w:bottom w:val="single" w:sz="4" w:space="0" w:color="000000"/>
              <w:right w:val="single" w:sz="4" w:space="0" w:color="4F6228"/>
            </w:tcBorders>
            <w:shd w:val="clear" w:color="auto" w:fill="EBF1DD"/>
            <w:tcMar>
              <w:top w:w="0" w:type="dxa"/>
              <w:left w:w="108" w:type="dxa"/>
              <w:bottom w:w="0" w:type="dxa"/>
              <w:right w:w="108" w:type="dxa"/>
            </w:tcMar>
            <w:vAlign w:val="center"/>
            <w:hideMark/>
          </w:tcPr>
          <w:p w14:paraId="10002710" w14:textId="77777777" w:rsidR="005A33FA" w:rsidRPr="00B714F9" w:rsidRDefault="005A33FA" w:rsidP="00B714F9">
            <w:pPr>
              <w:spacing w:after="0" w:line="240" w:lineRule="auto"/>
              <w:jc w:val="both"/>
              <w:rPr>
                <w:rFonts w:eastAsia="Times New Roman" w:cstheme="minorHAnsi"/>
                <w:kern w:val="0"/>
                <w:lang w:eastAsia="en-NZ"/>
                <w14:ligatures w14:val="none"/>
              </w:rPr>
            </w:pPr>
          </w:p>
        </w:tc>
      </w:tr>
      <w:tr w:rsidR="005A33FA" w:rsidRPr="00B714F9" w14:paraId="75033810" w14:textId="77777777" w:rsidTr="004D182C">
        <w:trPr>
          <w:trHeight w:val="3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264A5DD"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1A3C0500"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5</w:t>
            </w: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0B989244"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75" w:type="dxa"/>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772FF631"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1138" w:type="dxa"/>
            <w:tcBorders>
              <w:top w:val="single" w:sz="4" w:space="0" w:color="000000"/>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0604BE8C"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tcBorders>
              <w:top w:val="single" w:sz="4" w:space="0" w:color="000000"/>
              <w:left w:val="single" w:sz="4" w:space="0" w:color="000000"/>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7F0EC75D" w14:textId="77777777" w:rsidR="005A33FA" w:rsidRPr="00B714F9" w:rsidRDefault="005A33FA" w:rsidP="00B714F9">
            <w:pPr>
              <w:spacing w:after="0" w:line="240" w:lineRule="auto"/>
              <w:jc w:val="both"/>
              <w:rPr>
                <w:rFonts w:eastAsia="Times New Roman" w:cstheme="minorHAnsi"/>
                <w:kern w:val="0"/>
                <w:lang w:eastAsia="en-NZ"/>
                <w14:ligatures w14:val="none"/>
              </w:rPr>
            </w:pPr>
          </w:p>
        </w:tc>
      </w:tr>
      <w:tr w:rsidR="005A33FA" w:rsidRPr="00B714F9" w14:paraId="61597C14" w14:textId="77777777" w:rsidTr="004D182C">
        <w:trPr>
          <w:trHeight w:val="84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178AB2A1"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lastRenderedPageBreak/>
              <w:t>Test Conditions</w:t>
            </w:r>
          </w:p>
          <w:p w14:paraId="3EF384DC"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1F3CB282"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 xml:space="preserve">Speed over collectors: </w:t>
            </w:r>
            <w:r w:rsidRPr="00B714F9">
              <w:rPr>
                <w:rFonts w:eastAsia="Times New Roman" w:cstheme="minorHAnsi"/>
                <w:color w:val="000000"/>
                <w:kern w:val="0"/>
                <w:lang w:eastAsia="en-NZ"/>
                <w14:ligatures w14:val="none"/>
              </w:rPr>
              <w:tab/>
              <w:t>Transverse: </w:t>
            </w:r>
          </w:p>
          <w:p w14:paraId="7698DCBF"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ab/>
              <w:t>Longitudinal:</w:t>
            </w:r>
          </w:p>
        </w:tc>
      </w:tr>
      <w:tr w:rsidR="005A33FA" w:rsidRPr="00B714F9" w14:paraId="28BB1394"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40F9EC4C"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4EEB0211"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Spreader condition:</w:t>
            </w:r>
          </w:p>
        </w:tc>
      </w:tr>
      <w:tr w:rsidR="005A33FA" w:rsidRPr="00B714F9" w14:paraId="42A7FA05" w14:textId="77777777" w:rsidTr="004D182C">
        <w:trPr>
          <w:trHeight w:val="4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BEAE098"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6CB6FA29" w14:textId="77777777" w:rsidR="005A33FA" w:rsidRPr="00B714F9" w:rsidRDefault="005A33FA" w:rsidP="00B714F9">
            <w:pPr>
              <w:spacing w:before="60" w:after="12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Hopper loading:</w:t>
            </w:r>
          </w:p>
        </w:tc>
      </w:tr>
      <w:tr w:rsidR="005A33FA" w:rsidRPr="00B714F9" w14:paraId="709988E7" w14:textId="77777777" w:rsidTr="004D182C">
        <w:trPr>
          <w:trHeight w:val="65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412F66DC"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5289E5FB"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 xml:space="preserve">Distance/time of run-up: </w:t>
            </w:r>
            <w:r w:rsidRPr="00B714F9">
              <w:rPr>
                <w:rFonts w:eastAsia="Times New Roman" w:cstheme="minorHAnsi"/>
                <w:color w:val="000000"/>
                <w:kern w:val="0"/>
                <w:lang w:eastAsia="en-NZ"/>
                <w14:ligatures w14:val="none"/>
              </w:rPr>
              <w:tab/>
              <w:t>Transverse: </w:t>
            </w:r>
          </w:p>
          <w:p w14:paraId="0F48A2C8"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ab/>
              <w:t>Longitudinal: </w:t>
            </w:r>
          </w:p>
        </w:tc>
      </w:tr>
      <w:tr w:rsidR="005A33FA" w:rsidRPr="00B714F9" w14:paraId="212E1639" w14:textId="77777777" w:rsidTr="004D182C">
        <w:trPr>
          <w:trHeight w:val="66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4D25F33D"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Collectors</w:t>
            </w:r>
          </w:p>
          <w:p w14:paraId="43F14599"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1A07E1A4"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 xml:space="preserve">Number per pass: </w:t>
            </w:r>
            <w:r w:rsidRPr="00B714F9">
              <w:rPr>
                <w:rFonts w:eastAsia="Times New Roman" w:cstheme="minorHAnsi"/>
                <w:color w:val="000000"/>
                <w:kern w:val="0"/>
                <w:lang w:eastAsia="en-NZ"/>
                <w14:ligatures w14:val="none"/>
              </w:rPr>
              <w:tab/>
            </w:r>
            <w:r w:rsidRPr="00B714F9">
              <w:rPr>
                <w:rFonts w:eastAsia="Times New Roman" w:cstheme="minorHAnsi"/>
                <w:color w:val="000000"/>
                <w:kern w:val="0"/>
                <w:lang w:eastAsia="en-NZ"/>
                <w14:ligatures w14:val="none"/>
              </w:rPr>
              <w:tab/>
              <w:t>Transverse: </w:t>
            </w:r>
          </w:p>
          <w:p w14:paraId="3B680900"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ab/>
            </w:r>
            <w:r w:rsidRPr="00B714F9">
              <w:rPr>
                <w:rFonts w:eastAsia="Times New Roman" w:cstheme="minorHAnsi"/>
                <w:color w:val="000000"/>
                <w:kern w:val="0"/>
                <w:lang w:eastAsia="en-NZ"/>
                <w14:ligatures w14:val="none"/>
              </w:rPr>
              <w:tab/>
              <w:t>Longitudinal:</w:t>
            </w:r>
          </w:p>
        </w:tc>
      </w:tr>
      <w:tr w:rsidR="005A33FA" w:rsidRPr="00B714F9" w14:paraId="39834B6E" w14:textId="77777777" w:rsidTr="004D182C">
        <w:trPr>
          <w:trHeight w:val="660"/>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00175EA7"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1B96ED42"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 xml:space="preserve">Distribution: </w:t>
            </w:r>
            <w:r w:rsidRPr="00B714F9">
              <w:rPr>
                <w:rFonts w:eastAsia="Times New Roman" w:cstheme="minorHAnsi"/>
                <w:color w:val="000000"/>
                <w:kern w:val="0"/>
                <w:lang w:eastAsia="en-NZ"/>
                <w14:ligatures w14:val="none"/>
              </w:rPr>
              <w:tab/>
            </w:r>
            <w:r w:rsidRPr="00B714F9">
              <w:rPr>
                <w:rFonts w:eastAsia="Times New Roman" w:cstheme="minorHAnsi"/>
                <w:color w:val="000000"/>
                <w:kern w:val="0"/>
                <w:lang w:eastAsia="en-NZ"/>
                <w14:ligatures w14:val="none"/>
              </w:rPr>
              <w:tab/>
            </w:r>
            <w:r w:rsidRPr="00B714F9">
              <w:rPr>
                <w:rFonts w:eastAsia="Times New Roman" w:cstheme="minorHAnsi"/>
                <w:color w:val="000000"/>
                <w:kern w:val="0"/>
                <w:lang w:eastAsia="en-NZ"/>
                <w14:ligatures w14:val="none"/>
              </w:rPr>
              <w:tab/>
              <w:t>Transverse: </w:t>
            </w:r>
          </w:p>
          <w:p w14:paraId="0818C67D"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ab/>
            </w:r>
            <w:r w:rsidRPr="00B714F9">
              <w:rPr>
                <w:rFonts w:eastAsia="Times New Roman" w:cstheme="minorHAnsi"/>
                <w:color w:val="000000"/>
                <w:kern w:val="0"/>
                <w:lang w:eastAsia="en-NZ"/>
                <w14:ligatures w14:val="none"/>
              </w:rPr>
              <w:tab/>
            </w:r>
            <w:r w:rsidRPr="00B714F9">
              <w:rPr>
                <w:rFonts w:eastAsia="Times New Roman" w:cstheme="minorHAnsi"/>
                <w:color w:val="000000"/>
                <w:kern w:val="0"/>
                <w:lang w:eastAsia="en-NZ"/>
                <w14:ligatures w14:val="none"/>
              </w:rPr>
              <w:tab/>
              <w:t>Longitudinal: </w:t>
            </w:r>
          </w:p>
        </w:tc>
      </w:tr>
      <w:tr w:rsidR="005A33FA" w:rsidRPr="00B714F9" w14:paraId="62BBDA82" w14:textId="77777777" w:rsidTr="004D182C">
        <w:trPr>
          <w:trHeight w:val="2201"/>
        </w:trPr>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CF18044"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b/>
                <w:bCs/>
                <w:color w:val="000000"/>
                <w:kern w:val="0"/>
                <w:lang w:eastAsia="en-NZ"/>
                <w14:ligatures w14:val="none"/>
              </w:rPr>
              <w:t>Certification</w:t>
            </w:r>
          </w:p>
          <w:p w14:paraId="57D2B194" w14:textId="77777777" w:rsidR="005A33FA" w:rsidRPr="00B714F9" w:rsidRDefault="005A33FA" w:rsidP="00B714F9">
            <w:pPr>
              <w:spacing w:after="0" w:line="240" w:lineRule="auto"/>
              <w:jc w:val="both"/>
              <w:rPr>
                <w:rFonts w:eastAsia="Times New Roman" w:cstheme="minorHAnsi"/>
                <w:kern w:val="0"/>
                <w:lang w:eastAsia="en-NZ"/>
                <w14:ligatures w14:val="none"/>
              </w:rPr>
            </w:pPr>
          </w:p>
        </w:tc>
        <w:tc>
          <w:tcPr>
            <w:tcW w:w="0" w:type="auto"/>
            <w:gridSpan w:val="5"/>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48F364CA"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Certified Bout Width</w:t>
            </w:r>
          </w:p>
          <w:p w14:paraId="3C6E740C"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1 =</w:t>
            </w:r>
          </w:p>
          <w:p w14:paraId="7466C1F4"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2 =</w:t>
            </w:r>
          </w:p>
          <w:p w14:paraId="252BA66D"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3 =</w:t>
            </w:r>
          </w:p>
          <w:p w14:paraId="169C75F2"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4=</w:t>
            </w:r>
          </w:p>
          <w:p w14:paraId="0B65904C"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Product 5=</w:t>
            </w:r>
          </w:p>
          <w:p w14:paraId="525D5CBF" w14:textId="77777777" w:rsidR="005A33FA" w:rsidRPr="00B714F9" w:rsidRDefault="005A33FA" w:rsidP="00B714F9">
            <w:pPr>
              <w:spacing w:before="40" w:after="40" w:line="240" w:lineRule="auto"/>
              <w:jc w:val="both"/>
              <w:rPr>
                <w:rFonts w:eastAsia="Times New Roman" w:cstheme="minorHAnsi"/>
                <w:kern w:val="0"/>
                <w:lang w:eastAsia="en-NZ"/>
                <w14:ligatures w14:val="none"/>
              </w:rPr>
            </w:pPr>
            <w:r w:rsidRPr="00B714F9">
              <w:rPr>
                <w:rFonts w:eastAsia="Times New Roman" w:cstheme="minorHAnsi"/>
                <w:color w:val="000000"/>
                <w:kern w:val="0"/>
                <w:lang w:eastAsia="en-NZ"/>
                <w14:ligatures w14:val="none"/>
              </w:rPr>
              <w:t>Shape of CV v Bout Width graph= </w:t>
            </w:r>
          </w:p>
        </w:tc>
      </w:tr>
    </w:tbl>
    <w:p w14:paraId="576A7813" w14:textId="77777777" w:rsidR="0003438D" w:rsidRDefault="0003438D" w:rsidP="00B714F9">
      <w:pPr>
        <w:jc w:val="both"/>
        <w:rPr>
          <w:rFonts w:cstheme="minorHAnsi"/>
          <w:b/>
          <w:bCs/>
          <w:lang w:val="en-US"/>
        </w:rPr>
      </w:pPr>
    </w:p>
    <w:p w14:paraId="5BBAA63C" w14:textId="5FB265CA" w:rsidR="005A33FA" w:rsidRPr="00B714F9" w:rsidRDefault="005A33FA" w:rsidP="00B714F9">
      <w:pPr>
        <w:jc w:val="both"/>
        <w:rPr>
          <w:rFonts w:cstheme="minorHAnsi"/>
          <w:b/>
          <w:bCs/>
          <w:lang w:val="en-US"/>
        </w:rPr>
      </w:pPr>
      <w:r w:rsidRPr="00B714F9">
        <w:rPr>
          <w:rFonts w:cstheme="minorHAnsi"/>
          <w:b/>
          <w:bCs/>
          <w:lang w:val="en-US"/>
        </w:rPr>
        <w:t>9.</w:t>
      </w:r>
      <w:r w:rsidRPr="00B714F9">
        <w:rPr>
          <w:rFonts w:cstheme="minorHAnsi"/>
          <w:b/>
          <w:bCs/>
          <w:lang w:val="en-US"/>
        </w:rPr>
        <w:tab/>
      </w:r>
      <w:r w:rsidR="007C4860">
        <w:rPr>
          <w:rFonts w:cstheme="minorHAnsi"/>
          <w:b/>
          <w:bCs/>
          <w:lang w:val="en-US"/>
        </w:rPr>
        <w:t xml:space="preserve">CERTIFIED BOUT AND MAXIMUM </w:t>
      </w:r>
      <w:r w:rsidR="005E75FE">
        <w:rPr>
          <w:rFonts w:cstheme="minorHAnsi"/>
          <w:b/>
          <w:bCs/>
          <w:lang w:val="en-US"/>
        </w:rPr>
        <w:t>SWATH WIDTHS</w:t>
      </w:r>
    </w:p>
    <w:p w14:paraId="2288330D" w14:textId="4C6769E6" w:rsidR="005A33FA" w:rsidRPr="00B714F9" w:rsidRDefault="005A33FA" w:rsidP="00B714F9">
      <w:pPr>
        <w:spacing w:line="240" w:lineRule="auto"/>
        <w:jc w:val="both"/>
        <w:rPr>
          <w:rFonts w:cstheme="minorHAnsi"/>
          <w:lang w:val="en-US"/>
        </w:rPr>
      </w:pPr>
      <w:r w:rsidRPr="00B714F9">
        <w:rPr>
          <w:rFonts w:cstheme="minorHAnsi"/>
          <w:lang w:val="en-US"/>
        </w:rPr>
        <w:t xml:space="preserve">The tester </w:t>
      </w:r>
      <w:r w:rsidR="00A6408D">
        <w:rPr>
          <w:rFonts w:cstheme="minorHAnsi"/>
          <w:lang w:val="en-US"/>
        </w:rPr>
        <w:t>shall</w:t>
      </w:r>
      <w:r w:rsidRPr="00B714F9">
        <w:rPr>
          <w:rFonts w:cstheme="minorHAnsi"/>
          <w:lang w:val="en-US"/>
        </w:rPr>
        <w:t xml:space="preserve"> generate a CV versus bout width graph from the test information obtained for each nutrient tested and will determine the Certified Bout Widths from these graph</w:t>
      </w:r>
      <w:r w:rsidRPr="00844942">
        <w:rPr>
          <w:rFonts w:cstheme="minorHAnsi"/>
          <w:lang w:val="en-US"/>
        </w:rPr>
        <w:t>s. Testers will establish and record the maximum swath width for each test</w:t>
      </w:r>
      <w:r w:rsidR="00844942" w:rsidRPr="00844942">
        <w:rPr>
          <w:rFonts w:cstheme="minorHAnsi"/>
          <w:lang w:val="en-US"/>
        </w:rPr>
        <w:t xml:space="preserve"> if required</w:t>
      </w:r>
      <w:r w:rsidRPr="00844942">
        <w:rPr>
          <w:rFonts w:cstheme="minorHAnsi"/>
          <w:lang w:val="en-US"/>
        </w:rPr>
        <w:t>.</w:t>
      </w:r>
      <w:r w:rsidRPr="00B714F9">
        <w:rPr>
          <w:rFonts w:cstheme="minorHAnsi"/>
          <w:lang w:val="en-US"/>
        </w:rPr>
        <w:t xml:space="preserve"> </w:t>
      </w:r>
      <w:r w:rsidR="00E91CFD">
        <w:rPr>
          <w:rFonts w:cstheme="minorHAnsi"/>
          <w:lang w:val="en-US"/>
        </w:rPr>
        <w:t xml:space="preserve">Software to assist this </w:t>
      </w:r>
      <w:r w:rsidR="00F379E0">
        <w:rPr>
          <w:rFonts w:cstheme="minorHAnsi"/>
          <w:lang w:val="en-US"/>
        </w:rPr>
        <w:t xml:space="preserve">analysis can be found here </w:t>
      </w:r>
      <w:hyperlink r:id="rId12" w:history="1">
        <w:r w:rsidR="009B598F" w:rsidRPr="00272A69">
          <w:rPr>
            <w:rStyle w:val="Hyperlink"/>
            <w:rFonts w:cstheme="minorHAnsi"/>
            <w:lang w:val="en-US"/>
          </w:rPr>
          <w:t>https://fertqual.co.nz/spreadmark/</w:t>
        </w:r>
      </w:hyperlink>
      <w:r w:rsidR="009B598F">
        <w:rPr>
          <w:rFonts w:cstheme="minorHAnsi"/>
          <w:lang w:val="en-US"/>
        </w:rPr>
        <w:t xml:space="preserve"> </w:t>
      </w:r>
    </w:p>
    <w:p w14:paraId="5E1B38BC" w14:textId="5C2D7DFF" w:rsidR="005A33FA" w:rsidRPr="00B714F9" w:rsidRDefault="005A33FA" w:rsidP="00B714F9">
      <w:pPr>
        <w:spacing w:line="240" w:lineRule="auto"/>
        <w:jc w:val="both"/>
        <w:rPr>
          <w:rFonts w:cstheme="minorHAnsi"/>
          <w:lang w:val="en-US"/>
        </w:rPr>
      </w:pPr>
      <w:r w:rsidRPr="00B714F9">
        <w:rPr>
          <w:rFonts w:cstheme="minorHAnsi"/>
          <w:lang w:val="en-US"/>
        </w:rPr>
        <w:t xml:space="preserve">The Certified Bout Width of a spreader </w:t>
      </w:r>
      <w:r w:rsidR="009B598F">
        <w:rPr>
          <w:rFonts w:cstheme="minorHAnsi"/>
          <w:lang w:val="en-US"/>
        </w:rPr>
        <w:t>shall</w:t>
      </w:r>
      <w:r w:rsidRPr="00B714F9">
        <w:rPr>
          <w:rFonts w:cstheme="minorHAnsi"/>
          <w:lang w:val="en-US"/>
        </w:rPr>
        <w:t xml:space="preserve"> be the bout width where the test result is 15% or less for nitrogenous nutrients </w:t>
      </w:r>
      <w:r w:rsidRPr="007A4B3A">
        <w:rPr>
          <w:rFonts w:cstheme="minorHAnsi"/>
          <w:lang w:val="en-US"/>
        </w:rPr>
        <w:t>and 25% or less for non-nitrogenous nutrients. Refer to the Glossary of Terms</w:t>
      </w:r>
      <w:r w:rsidR="005E75FE" w:rsidRPr="007A4B3A">
        <w:rPr>
          <w:rFonts w:cstheme="minorHAnsi"/>
          <w:lang w:val="en-US"/>
        </w:rPr>
        <w:t xml:space="preserve"> in the</w:t>
      </w:r>
      <w:r w:rsidRPr="007A4B3A">
        <w:rPr>
          <w:rFonts w:cstheme="minorHAnsi"/>
          <w:lang w:val="en-US"/>
        </w:rPr>
        <w:t xml:space="preserve"> Code</w:t>
      </w:r>
      <w:r w:rsidRPr="00B714F9">
        <w:rPr>
          <w:rFonts w:cstheme="minorHAnsi"/>
          <w:lang w:val="en-US"/>
        </w:rPr>
        <w:t xml:space="preserve"> for a definition of nitrogenous nutrient.</w:t>
      </w:r>
    </w:p>
    <w:p w14:paraId="555C7B48" w14:textId="584798CB" w:rsidR="005A33FA" w:rsidRPr="00B714F9" w:rsidRDefault="005A33FA" w:rsidP="00B714F9">
      <w:pPr>
        <w:spacing w:line="240" w:lineRule="auto"/>
        <w:jc w:val="both"/>
        <w:rPr>
          <w:rFonts w:cstheme="minorHAnsi"/>
          <w:lang w:val="en-US"/>
        </w:rPr>
      </w:pPr>
      <w:r w:rsidRPr="00B714F9">
        <w:rPr>
          <w:rFonts w:cstheme="minorHAnsi"/>
          <w:lang w:val="en-US"/>
        </w:rPr>
        <w:t xml:space="preserve">Spreaders </w:t>
      </w:r>
      <w:r w:rsidR="00C16EFA">
        <w:rPr>
          <w:rFonts w:cstheme="minorHAnsi"/>
          <w:lang w:val="en-US"/>
        </w:rPr>
        <w:t>sha</w:t>
      </w:r>
      <w:r w:rsidRPr="00B714F9">
        <w:rPr>
          <w:rFonts w:cstheme="minorHAnsi"/>
          <w:lang w:val="en-US"/>
        </w:rPr>
        <w:t xml:space="preserve">ll have both their ‘Round and Round’ and their ‘To and </w:t>
      </w:r>
      <w:proofErr w:type="spellStart"/>
      <w:r w:rsidRPr="00B714F9">
        <w:rPr>
          <w:rFonts w:cstheme="minorHAnsi"/>
          <w:lang w:val="en-US"/>
        </w:rPr>
        <w:t>Fro</w:t>
      </w:r>
      <w:proofErr w:type="spellEnd"/>
      <w:r w:rsidRPr="00B714F9">
        <w:rPr>
          <w:rFonts w:cstheme="minorHAnsi"/>
          <w:lang w:val="en-US"/>
        </w:rPr>
        <w:t>’ bout widths determined for each nutrient tested.</w:t>
      </w:r>
    </w:p>
    <w:p w14:paraId="57F26414" w14:textId="4DBD98EF" w:rsidR="005A33FA" w:rsidRPr="00B714F9" w:rsidRDefault="005A33FA" w:rsidP="00B714F9">
      <w:pPr>
        <w:spacing w:line="240" w:lineRule="auto"/>
        <w:jc w:val="both"/>
        <w:rPr>
          <w:rFonts w:cstheme="minorHAnsi"/>
          <w:lang w:val="en-US"/>
        </w:rPr>
      </w:pPr>
      <w:r w:rsidRPr="00B714F9">
        <w:rPr>
          <w:rFonts w:cstheme="minorHAnsi"/>
          <w:lang w:val="en-US"/>
        </w:rPr>
        <w:t xml:space="preserve">If the CV versus bout width graph is ‘S shaped’ and intersects the appropriate CV limit at more than one bout width then this </w:t>
      </w:r>
      <w:r w:rsidR="006A597E">
        <w:rPr>
          <w:rFonts w:cstheme="minorHAnsi"/>
          <w:lang w:val="en-US"/>
        </w:rPr>
        <w:t>shall</w:t>
      </w:r>
      <w:r w:rsidRPr="00B714F9">
        <w:rPr>
          <w:rFonts w:cstheme="minorHAnsi"/>
          <w:lang w:val="en-US"/>
        </w:rPr>
        <w:t xml:space="preserve"> be recorded as, for example, “Up to 16 m and 22 to 29 meters”.</w:t>
      </w:r>
    </w:p>
    <w:p w14:paraId="08F634D3" w14:textId="56A80195" w:rsidR="005A33FA" w:rsidRPr="00B714F9" w:rsidRDefault="005A33FA" w:rsidP="00B714F9">
      <w:pPr>
        <w:spacing w:line="240" w:lineRule="auto"/>
        <w:jc w:val="both"/>
        <w:rPr>
          <w:rFonts w:cstheme="minorHAnsi"/>
          <w:lang w:val="en-US"/>
        </w:rPr>
      </w:pPr>
      <w:r w:rsidRPr="00B714F9">
        <w:rPr>
          <w:rFonts w:cstheme="minorHAnsi"/>
          <w:lang w:val="en-US"/>
        </w:rPr>
        <w:t xml:space="preserve">Spreadmark Spreader Performance Certificates will not be issued for spreaders where the Certified Bout Width, when tested on urea, is less than 12 meters for either ‘To and </w:t>
      </w:r>
      <w:proofErr w:type="spellStart"/>
      <w:r w:rsidRPr="00B714F9">
        <w:rPr>
          <w:rFonts w:cstheme="minorHAnsi"/>
          <w:lang w:val="en-US"/>
        </w:rPr>
        <w:t>Fro</w:t>
      </w:r>
      <w:proofErr w:type="spellEnd"/>
      <w:r w:rsidRPr="00B714F9">
        <w:rPr>
          <w:rFonts w:cstheme="minorHAnsi"/>
          <w:lang w:val="en-US"/>
        </w:rPr>
        <w:t xml:space="preserve">’ or ‘Round and Round’ spread patterns.  An exception to this rule is made for </w:t>
      </w:r>
      <w:r w:rsidR="00836940">
        <w:rPr>
          <w:rFonts w:cstheme="minorHAnsi"/>
          <w:lang w:val="en-US"/>
        </w:rPr>
        <w:t>unit</w:t>
      </w:r>
      <w:r w:rsidRPr="00B714F9">
        <w:rPr>
          <w:rFonts w:cstheme="minorHAnsi"/>
          <w:lang w:val="en-US"/>
        </w:rPr>
        <w:t xml:space="preserve">s with single spinners which only travel ‘Round and Round’.  These </w:t>
      </w:r>
      <w:r w:rsidR="00836940">
        <w:rPr>
          <w:rFonts w:cstheme="minorHAnsi"/>
          <w:lang w:val="en-US"/>
        </w:rPr>
        <w:t>units</w:t>
      </w:r>
      <w:r w:rsidRPr="00B714F9">
        <w:rPr>
          <w:rFonts w:cstheme="minorHAnsi"/>
          <w:lang w:val="en-US"/>
        </w:rPr>
        <w:t xml:space="preserve"> can be issued with Spreadmark Spreader Performance Certificates if they can achieve 12 meters on a ‘Round and Round’ spread pattern.</w:t>
      </w:r>
    </w:p>
    <w:p w14:paraId="68554928" w14:textId="77777777" w:rsidR="005A33FA" w:rsidRPr="00B714F9" w:rsidRDefault="005A33FA" w:rsidP="00B714F9">
      <w:pPr>
        <w:spacing w:line="240" w:lineRule="auto"/>
        <w:jc w:val="both"/>
        <w:rPr>
          <w:rFonts w:cstheme="minorHAnsi"/>
          <w:lang w:val="en-US"/>
        </w:rPr>
      </w:pPr>
      <w:r w:rsidRPr="00B714F9">
        <w:rPr>
          <w:rFonts w:cstheme="minorHAnsi"/>
          <w:lang w:val="en-US"/>
        </w:rPr>
        <w:t xml:space="preserve">Dedicated orchard spreaders do not need to be evaluated for evenness of spread pattern but do need to be fit for purpose on rate and band width </w:t>
      </w:r>
      <w:proofErr w:type="gramStart"/>
      <w:r w:rsidRPr="00B714F9">
        <w:rPr>
          <w:rFonts w:cstheme="minorHAnsi"/>
          <w:lang w:val="en-US"/>
        </w:rPr>
        <w:t>in order to</w:t>
      </w:r>
      <w:proofErr w:type="gramEnd"/>
      <w:r w:rsidRPr="00B714F9">
        <w:rPr>
          <w:rFonts w:cstheme="minorHAnsi"/>
          <w:lang w:val="en-US"/>
        </w:rPr>
        <w:t xml:space="preserve"> be certified. </w:t>
      </w:r>
    </w:p>
    <w:p w14:paraId="2AE480D0" w14:textId="77777777" w:rsidR="005A33FA" w:rsidRPr="00B714F9" w:rsidRDefault="005A33FA" w:rsidP="00B714F9">
      <w:pPr>
        <w:spacing w:line="240" w:lineRule="auto"/>
        <w:jc w:val="both"/>
        <w:rPr>
          <w:rFonts w:cstheme="minorHAnsi"/>
          <w:lang w:val="en-US"/>
        </w:rPr>
      </w:pPr>
      <w:r w:rsidRPr="00B714F9">
        <w:rPr>
          <w:rFonts w:cstheme="minorHAnsi"/>
          <w:lang w:val="en-US"/>
        </w:rPr>
        <w:t xml:space="preserve">For border spread certification the certified border width will be the tray beyond the one where the last granule of nutrient was collected (both sides to be tested).  </w:t>
      </w:r>
    </w:p>
    <w:p w14:paraId="1B2E7A04" w14:textId="5E2D168A" w:rsidR="005A33FA" w:rsidRPr="00B714F9" w:rsidRDefault="005A33FA" w:rsidP="00B714F9">
      <w:pPr>
        <w:jc w:val="both"/>
        <w:rPr>
          <w:rFonts w:cstheme="minorHAnsi"/>
          <w:b/>
          <w:bCs/>
          <w:lang w:val="en-US"/>
        </w:rPr>
      </w:pPr>
      <w:r w:rsidRPr="00B714F9">
        <w:rPr>
          <w:rFonts w:cstheme="minorHAnsi"/>
          <w:b/>
          <w:bCs/>
          <w:lang w:val="en-US"/>
        </w:rPr>
        <w:t>10.</w:t>
      </w:r>
      <w:r w:rsidRPr="00B714F9">
        <w:rPr>
          <w:rFonts w:cstheme="minorHAnsi"/>
          <w:b/>
          <w:bCs/>
          <w:lang w:val="en-US"/>
        </w:rPr>
        <w:tab/>
      </w:r>
      <w:r w:rsidR="007A4B3A">
        <w:rPr>
          <w:rFonts w:cstheme="minorHAnsi"/>
          <w:b/>
          <w:bCs/>
          <w:lang w:val="en-US"/>
        </w:rPr>
        <w:t>REPORTING</w:t>
      </w:r>
    </w:p>
    <w:p w14:paraId="610BA5BF" w14:textId="06519982" w:rsidR="005A33FA" w:rsidRPr="00B714F9" w:rsidRDefault="005A33FA" w:rsidP="00B714F9">
      <w:pPr>
        <w:spacing w:line="240" w:lineRule="auto"/>
        <w:jc w:val="both"/>
        <w:rPr>
          <w:rFonts w:cstheme="minorHAnsi"/>
          <w:lang w:val="en-US"/>
        </w:rPr>
      </w:pPr>
      <w:r w:rsidRPr="00B714F9">
        <w:rPr>
          <w:rFonts w:cstheme="minorHAnsi"/>
          <w:lang w:val="en-US"/>
        </w:rPr>
        <w:lastRenderedPageBreak/>
        <w:t>Approved Spreading</w:t>
      </w:r>
      <w:r w:rsidR="007A4B3A">
        <w:rPr>
          <w:rFonts w:cstheme="minorHAnsi"/>
          <w:lang w:val="en-US"/>
        </w:rPr>
        <w:t xml:space="preserve"> Unit</w:t>
      </w:r>
      <w:r w:rsidRPr="00B714F9">
        <w:rPr>
          <w:rFonts w:cstheme="minorHAnsi"/>
          <w:lang w:val="en-US"/>
        </w:rPr>
        <w:t xml:space="preserve"> Testers </w:t>
      </w:r>
      <w:r w:rsidR="00A27044">
        <w:rPr>
          <w:rFonts w:cstheme="minorHAnsi"/>
          <w:lang w:val="en-US"/>
        </w:rPr>
        <w:t>sha</w:t>
      </w:r>
      <w:r w:rsidRPr="00B714F9">
        <w:rPr>
          <w:rFonts w:cstheme="minorHAnsi"/>
          <w:lang w:val="en-US"/>
        </w:rPr>
        <w:t>ll, at the conclusion of the test, produce a Spreadmark Spreader Performance Certificate.</w:t>
      </w:r>
    </w:p>
    <w:p w14:paraId="16E2765E" w14:textId="77777777" w:rsidR="005A33FA" w:rsidRPr="00B714F9" w:rsidRDefault="005A33FA" w:rsidP="00B714F9">
      <w:pPr>
        <w:spacing w:line="240" w:lineRule="auto"/>
        <w:jc w:val="both"/>
        <w:rPr>
          <w:rFonts w:cstheme="minorHAnsi"/>
          <w:lang w:val="en-US"/>
        </w:rPr>
      </w:pPr>
      <w:r w:rsidRPr="00B714F9">
        <w:rPr>
          <w:rFonts w:cstheme="minorHAnsi"/>
          <w:lang w:val="en-US"/>
        </w:rPr>
        <w:t>The Spreadmark Spreader Performance Certificate must show, at least:</w:t>
      </w:r>
    </w:p>
    <w:p w14:paraId="08E3AFCC" w14:textId="491E535E" w:rsidR="005A33FA" w:rsidRPr="00B714F9" w:rsidRDefault="005A33FA" w:rsidP="00B714F9">
      <w:pPr>
        <w:numPr>
          <w:ilvl w:val="0"/>
          <w:numId w:val="18"/>
        </w:numPr>
        <w:spacing w:line="240" w:lineRule="auto"/>
        <w:contextualSpacing/>
        <w:jc w:val="both"/>
        <w:rPr>
          <w:rFonts w:cstheme="minorHAnsi"/>
          <w:lang w:val="en-US"/>
        </w:rPr>
      </w:pPr>
      <w:r w:rsidRPr="00B714F9">
        <w:rPr>
          <w:rFonts w:cstheme="minorHAnsi"/>
          <w:lang w:val="en-US"/>
        </w:rPr>
        <w:t>The spreading company name and a vehicle</w:t>
      </w:r>
      <w:r w:rsidR="002057A0">
        <w:rPr>
          <w:rFonts w:cstheme="minorHAnsi"/>
          <w:lang w:val="en-US"/>
        </w:rPr>
        <w:t>/helicopter</w:t>
      </w:r>
      <w:r w:rsidR="00421662">
        <w:rPr>
          <w:rFonts w:cstheme="minorHAnsi"/>
          <w:lang w:val="en-US"/>
        </w:rPr>
        <w:t>/UAV</w:t>
      </w:r>
      <w:r w:rsidRPr="00B714F9">
        <w:rPr>
          <w:rFonts w:cstheme="minorHAnsi"/>
          <w:lang w:val="en-US"/>
        </w:rPr>
        <w:t xml:space="preserve"> identification number and the bin unique identification number.</w:t>
      </w:r>
    </w:p>
    <w:p w14:paraId="21DBC8B4" w14:textId="68A8D24A" w:rsidR="005A33FA" w:rsidRPr="00B714F9" w:rsidRDefault="005A33FA" w:rsidP="00B714F9">
      <w:pPr>
        <w:numPr>
          <w:ilvl w:val="0"/>
          <w:numId w:val="18"/>
        </w:numPr>
        <w:spacing w:line="240" w:lineRule="auto"/>
        <w:contextualSpacing/>
        <w:jc w:val="both"/>
        <w:rPr>
          <w:rFonts w:cstheme="minorHAnsi"/>
          <w:lang w:val="en-US"/>
        </w:rPr>
      </w:pPr>
      <w:r w:rsidRPr="00B714F9">
        <w:rPr>
          <w:rFonts w:cstheme="minorHAnsi"/>
          <w:lang w:val="en-US"/>
        </w:rPr>
        <w:t>The tray weights collected</w:t>
      </w:r>
      <w:r w:rsidR="00421662">
        <w:rPr>
          <w:rFonts w:cstheme="minorHAnsi"/>
          <w:lang w:val="en-US"/>
        </w:rPr>
        <w:t>.</w:t>
      </w:r>
    </w:p>
    <w:p w14:paraId="07AF5F96" w14:textId="037AC4AE" w:rsidR="005A33FA" w:rsidRPr="00B714F9" w:rsidRDefault="005A33FA" w:rsidP="00B714F9">
      <w:pPr>
        <w:numPr>
          <w:ilvl w:val="0"/>
          <w:numId w:val="18"/>
        </w:numPr>
        <w:spacing w:line="240" w:lineRule="auto"/>
        <w:contextualSpacing/>
        <w:jc w:val="both"/>
        <w:rPr>
          <w:rFonts w:cstheme="minorHAnsi"/>
          <w:lang w:val="en-US"/>
        </w:rPr>
      </w:pPr>
      <w:r w:rsidRPr="00B714F9">
        <w:rPr>
          <w:rFonts w:cstheme="minorHAnsi"/>
          <w:lang w:val="en-US"/>
        </w:rPr>
        <w:t xml:space="preserve">The Certified Bout Width (or Bout Width Range) for each nutrient tested (see item 9 for details) for both ‘Round and Round’ and ‘To and </w:t>
      </w:r>
      <w:proofErr w:type="spellStart"/>
      <w:r w:rsidRPr="00B714F9">
        <w:rPr>
          <w:rFonts w:cstheme="minorHAnsi"/>
          <w:lang w:val="en-US"/>
        </w:rPr>
        <w:t>Fro</w:t>
      </w:r>
      <w:proofErr w:type="spellEnd"/>
      <w:r w:rsidRPr="00B714F9">
        <w:rPr>
          <w:rFonts w:cstheme="minorHAnsi"/>
          <w:lang w:val="en-US"/>
        </w:rPr>
        <w:t>’ patterns.</w:t>
      </w:r>
    </w:p>
    <w:p w14:paraId="6DF2A7D3" w14:textId="77777777" w:rsidR="005A33FA" w:rsidRPr="00B714F9" w:rsidRDefault="005A33FA" w:rsidP="00B714F9">
      <w:pPr>
        <w:numPr>
          <w:ilvl w:val="0"/>
          <w:numId w:val="18"/>
        </w:numPr>
        <w:spacing w:line="240" w:lineRule="auto"/>
        <w:contextualSpacing/>
        <w:jc w:val="both"/>
        <w:rPr>
          <w:rFonts w:cstheme="minorHAnsi"/>
          <w:lang w:val="en-US"/>
        </w:rPr>
      </w:pPr>
      <w:r w:rsidRPr="00B714F9">
        <w:rPr>
          <w:rFonts w:cstheme="minorHAnsi"/>
          <w:lang w:val="en-US"/>
        </w:rPr>
        <w:t>The Maximum Swath Width for each nutrient tested.</w:t>
      </w:r>
    </w:p>
    <w:p w14:paraId="111D3B8C" w14:textId="17D80062" w:rsidR="005A33FA" w:rsidRPr="00B714F9" w:rsidRDefault="005A33FA" w:rsidP="00B714F9">
      <w:pPr>
        <w:numPr>
          <w:ilvl w:val="0"/>
          <w:numId w:val="18"/>
        </w:numPr>
        <w:spacing w:line="240" w:lineRule="auto"/>
        <w:contextualSpacing/>
        <w:jc w:val="both"/>
        <w:rPr>
          <w:rFonts w:cstheme="minorHAnsi"/>
          <w:lang w:val="en-US"/>
        </w:rPr>
      </w:pPr>
      <w:r w:rsidRPr="00B714F9">
        <w:rPr>
          <w:rFonts w:cstheme="minorHAnsi"/>
          <w:lang w:val="en-US"/>
        </w:rPr>
        <w:t xml:space="preserve">A description of the physical characteristics of </w:t>
      </w:r>
      <w:r w:rsidR="00107512">
        <w:rPr>
          <w:rFonts w:cstheme="minorHAnsi"/>
          <w:lang w:val="en-US"/>
        </w:rPr>
        <w:t>each</w:t>
      </w:r>
      <w:r w:rsidRPr="00B714F9">
        <w:rPr>
          <w:rFonts w:cstheme="minorHAnsi"/>
          <w:lang w:val="en-US"/>
        </w:rPr>
        <w:t xml:space="preserve"> nutrient</w:t>
      </w:r>
      <w:r w:rsidR="00F9749A">
        <w:rPr>
          <w:rFonts w:cstheme="minorHAnsi"/>
          <w:lang w:val="en-US"/>
        </w:rPr>
        <w:t xml:space="preserve"> tested</w:t>
      </w:r>
      <w:r w:rsidRPr="00B714F9">
        <w:rPr>
          <w:rFonts w:cstheme="minorHAnsi"/>
          <w:lang w:val="en-US"/>
        </w:rPr>
        <w:t xml:space="preserve">.  The description to </w:t>
      </w:r>
      <w:proofErr w:type="gramStart"/>
      <w:r w:rsidRPr="00B714F9">
        <w:rPr>
          <w:rFonts w:cstheme="minorHAnsi"/>
          <w:lang w:val="en-US"/>
        </w:rPr>
        <w:t>include:</w:t>
      </w:r>
      <w:proofErr w:type="gramEnd"/>
      <w:r w:rsidRPr="00B714F9">
        <w:rPr>
          <w:rFonts w:cstheme="minorHAnsi"/>
          <w:lang w:val="en-US"/>
        </w:rPr>
        <w:t xml:space="preserve"> product name, bulk density (BD), uniformity index (UI), size guide number (SGN) and a graph of the particle size distribution.</w:t>
      </w:r>
    </w:p>
    <w:p w14:paraId="298220EF" w14:textId="77777777" w:rsidR="005A33FA" w:rsidRPr="00B714F9" w:rsidRDefault="005A33FA" w:rsidP="00B714F9">
      <w:pPr>
        <w:numPr>
          <w:ilvl w:val="0"/>
          <w:numId w:val="18"/>
        </w:numPr>
        <w:spacing w:line="240" w:lineRule="auto"/>
        <w:contextualSpacing/>
        <w:jc w:val="both"/>
        <w:rPr>
          <w:rFonts w:cstheme="minorHAnsi"/>
          <w:lang w:val="en-US"/>
        </w:rPr>
      </w:pPr>
      <w:r w:rsidRPr="00B714F9">
        <w:rPr>
          <w:rFonts w:cstheme="minorHAnsi"/>
          <w:lang w:val="en-US"/>
        </w:rPr>
        <w:t>The date of the test and the expiry date of the certificate.  The expiry date will be two years after the date of the test.</w:t>
      </w:r>
    </w:p>
    <w:p w14:paraId="003637B6" w14:textId="77777777" w:rsidR="005A33FA" w:rsidRDefault="005A33FA" w:rsidP="00B714F9">
      <w:pPr>
        <w:numPr>
          <w:ilvl w:val="0"/>
          <w:numId w:val="18"/>
        </w:numPr>
        <w:spacing w:line="240" w:lineRule="auto"/>
        <w:contextualSpacing/>
        <w:jc w:val="both"/>
        <w:rPr>
          <w:rFonts w:cstheme="minorHAnsi"/>
          <w:lang w:val="en-US"/>
        </w:rPr>
      </w:pPr>
      <w:r w:rsidRPr="00B714F9">
        <w:rPr>
          <w:rFonts w:cstheme="minorHAnsi"/>
          <w:lang w:val="en-US"/>
        </w:rPr>
        <w:t>The certified application rate range for each product.  This rate range is to be ± 30% of the set application rate.</w:t>
      </w:r>
    </w:p>
    <w:p w14:paraId="4E4FA578" w14:textId="77777777" w:rsidR="00B714F9" w:rsidRPr="00B714F9" w:rsidRDefault="00B714F9" w:rsidP="00B714F9">
      <w:pPr>
        <w:spacing w:line="240" w:lineRule="auto"/>
        <w:ind w:left="720"/>
        <w:contextualSpacing/>
        <w:jc w:val="both"/>
        <w:rPr>
          <w:rFonts w:cstheme="minorHAnsi"/>
          <w:lang w:val="en-US"/>
        </w:rPr>
      </w:pPr>
    </w:p>
    <w:p w14:paraId="20D40804" w14:textId="38B3C0C1" w:rsidR="005A33FA" w:rsidRPr="00B714F9" w:rsidRDefault="005A33FA" w:rsidP="0039424A">
      <w:pPr>
        <w:spacing w:line="240" w:lineRule="auto"/>
        <w:jc w:val="both"/>
        <w:rPr>
          <w:rFonts w:cstheme="minorHAnsi"/>
          <w:lang w:val="en-US"/>
        </w:rPr>
      </w:pPr>
      <w:r w:rsidRPr="00B714F9">
        <w:rPr>
          <w:rFonts w:cstheme="minorHAnsi"/>
          <w:lang w:val="en-US"/>
        </w:rPr>
        <w:t xml:space="preserve">On completion the Spreader Performance Certificate </w:t>
      </w:r>
      <w:r w:rsidR="00146613">
        <w:rPr>
          <w:rFonts w:cstheme="minorHAnsi"/>
          <w:lang w:val="en-US"/>
        </w:rPr>
        <w:t>shall</w:t>
      </w:r>
      <w:r w:rsidRPr="00B714F9">
        <w:rPr>
          <w:rFonts w:cstheme="minorHAnsi"/>
          <w:lang w:val="en-US"/>
        </w:rPr>
        <w:t xml:space="preserve"> be sent to the company with a copy to the Auditor</w:t>
      </w:r>
    </w:p>
    <w:sectPr w:rsidR="005A33FA" w:rsidRPr="00B714F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E2BDC" w14:textId="77777777" w:rsidR="00DC103E" w:rsidRDefault="00DC103E" w:rsidP="00231741">
      <w:pPr>
        <w:spacing w:after="0" w:line="240" w:lineRule="auto"/>
      </w:pPr>
      <w:r>
        <w:separator/>
      </w:r>
    </w:p>
  </w:endnote>
  <w:endnote w:type="continuationSeparator" w:id="0">
    <w:p w14:paraId="34F2FBFE" w14:textId="77777777" w:rsidR="00DC103E" w:rsidRDefault="00DC103E" w:rsidP="0023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538390"/>
      <w:docPartObj>
        <w:docPartGallery w:val="Page Numbers (Bottom of Page)"/>
        <w:docPartUnique/>
      </w:docPartObj>
    </w:sdtPr>
    <w:sdtEndPr>
      <w:rPr>
        <w:noProof/>
      </w:rPr>
    </w:sdtEndPr>
    <w:sdtContent>
      <w:p w14:paraId="2993F540" w14:textId="2E119D5B" w:rsidR="00F80D93" w:rsidRDefault="00F80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F3A8C6" w14:textId="426156CF" w:rsidR="00F80D93" w:rsidRDefault="00F80D93" w:rsidP="00404B1A">
    <w:pPr>
      <w:pStyle w:val="Footer"/>
      <w:jc w:val="center"/>
    </w:pPr>
    <w:r>
      <w:t>Technical Specification</w:t>
    </w:r>
    <w:r w:rsidR="009A3D71">
      <w:t>s</w:t>
    </w:r>
    <w:r>
      <w:t xml:space="preserve"> for the Testing and Certification of Solid </w:t>
    </w:r>
    <w:r w:rsidR="00D64777">
      <w:t xml:space="preserve">Nutrient </w:t>
    </w:r>
    <w:r w:rsidR="000954EC">
      <w:t xml:space="preserve">Spreading </w:t>
    </w:r>
    <w:r w:rsidR="009A5ECE">
      <w:t>Units</w:t>
    </w:r>
  </w:p>
  <w:p w14:paraId="0DEDF70A" w14:textId="052551FD" w:rsidR="00F80D93" w:rsidRDefault="00F03DA2" w:rsidP="00404B1A">
    <w:pPr>
      <w:pStyle w:val="Footer"/>
      <w:jc w:val="center"/>
    </w:pPr>
    <w:r>
      <w:t>29 June</w:t>
    </w:r>
    <w:r w:rsidR="00CF527A">
      <w:t xml:space="preserve"> </w:t>
    </w:r>
    <w:r w:rsidR="00404B1A">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30532" w14:textId="77777777" w:rsidR="00DC103E" w:rsidRDefault="00DC103E" w:rsidP="00231741">
      <w:pPr>
        <w:spacing w:after="0" w:line="240" w:lineRule="auto"/>
      </w:pPr>
      <w:r>
        <w:separator/>
      </w:r>
    </w:p>
  </w:footnote>
  <w:footnote w:type="continuationSeparator" w:id="0">
    <w:p w14:paraId="45EB7450" w14:textId="77777777" w:rsidR="00DC103E" w:rsidRDefault="00DC103E" w:rsidP="00231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43DE"/>
    <w:multiLevelType w:val="hybridMultilevel"/>
    <w:tmpl w:val="F61C5C02"/>
    <w:lvl w:ilvl="0" w:tplc="14090005">
      <w:start w:val="1"/>
      <w:numFmt w:val="bullet"/>
      <w:lvlText w:val=""/>
      <w:lvlJc w:val="left"/>
      <w:pPr>
        <w:ind w:left="1077" w:hanging="360"/>
      </w:pPr>
      <w:rPr>
        <w:rFonts w:ascii="Wingdings" w:hAnsi="Wingdings" w:hint="default"/>
      </w:rPr>
    </w:lvl>
    <w:lvl w:ilvl="1" w:tplc="14090005">
      <w:start w:val="1"/>
      <w:numFmt w:val="bullet"/>
      <w:lvlText w:val=""/>
      <w:lvlJc w:val="left"/>
      <w:pPr>
        <w:ind w:left="1797" w:hanging="360"/>
      </w:pPr>
      <w:rPr>
        <w:rFonts w:ascii="Wingdings" w:hAnsi="Wingdings"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 w15:restartNumberingAfterBreak="0">
    <w:nsid w:val="05827AB6"/>
    <w:multiLevelType w:val="hybridMultilevel"/>
    <w:tmpl w:val="C7A8EF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823BC2"/>
    <w:multiLevelType w:val="hybridMultilevel"/>
    <w:tmpl w:val="63C4E782"/>
    <w:lvl w:ilvl="0" w:tplc="746A6B9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B501B9"/>
    <w:multiLevelType w:val="hybridMultilevel"/>
    <w:tmpl w:val="BD305C9E"/>
    <w:lvl w:ilvl="0" w:tplc="14090005">
      <w:start w:val="1"/>
      <w:numFmt w:val="bullet"/>
      <w:lvlText w:val=""/>
      <w:lvlJc w:val="left"/>
      <w:pPr>
        <w:ind w:left="1077" w:hanging="360"/>
      </w:pPr>
      <w:rPr>
        <w:rFonts w:ascii="Wingdings" w:hAnsi="Wingdings" w:hint="default"/>
      </w:rPr>
    </w:lvl>
    <w:lvl w:ilvl="1" w:tplc="14090005">
      <w:start w:val="1"/>
      <w:numFmt w:val="bullet"/>
      <w:lvlText w:val=""/>
      <w:lvlJc w:val="left"/>
      <w:pPr>
        <w:ind w:left="1797" w:hanging="360"/>
      </w:pPr>
      <w:rPr>
        <w:rFonts w:ascii="Wingdings" w:hAnsi="Wingdings"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 w15:restartNumberingAfterBreak="0">
    <w:nsid w:val="145D5631"/>
    <w:multiLevelType w:val="multilevel"/>
    <w:tmpl w:val="9F24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B7D9F"/>
    <w:multiLevelType w:val="hybridMultilevel"/>
    <w:tmpl w:val="F97A6C1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442D1C"/>
    <w:multiLevelType w:val="multilevel"/>
    <w:tmpl w:val="157CB77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F0BE1"/>
    <w:multiLevelType w:val="multilevel"/>
    <w:tmpl w:val="BF10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32FAF"/>
    <w:multiLevelType w:val="multilevel"/>
    <w:tmpl w:val="0B8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D338B"/>
    <w:multiLevelType w:val="multilevel"/>
    <w:tmpl w:val="3484F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8035C"/>
    <w:multiLevelType w:val="multilevel"/>
    <w:tmpl w:val="1A84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835F6"/>
    <w:multiLevelType w:val="hybridMultilevel"/>
    <w:tmpl w:val="ADEA6C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50E73BC"/>
    <w:multiLevelType w:val="hybridMultilevel"/>
    <w:tmpl w:val="139A4DC2"/>
    <w:lvl w:ilvl="0" w:tplc="14090005">
      <w:start w:val="1"/>
      <w:numFmt w:val="bullet"/>
      <w:lvlText w:val=""/>
      <w:lvlJc w:val="left"/>
      <w:pPr>
        <w:ind w:left="1077" w:hanging="360"/>
      </w:pPr>
      <w:rPr>
        <w:rFonts w:ascii="Wingdings" w:hAnsi="Wingdings" w:hint="default"/>
      </w:rPr>
    </w:lvl>
    <w:lvl w:ilvl="1" w:tplc="14090005">
      <w:start w:val="1"/>
      <w:numFmt w:val="bullet"/>
      <w:lvlText w:val=""/>
      <w:lvlJc w:val="left"/>
      <w:pPr>
        <w:ind w:left="1797" w:hanging="360"/>
      </w:pPr>
      <w:rPr>
        <w:rFonts w:ascii="Wingdings" w:hAnsi="Wingdings" w:hint="default"/>
      </w:rPr>
    </w:lvl>
    <w:lvl w:ilvl="2" w:tplc="9E98C242">
      <w:start w:val="1"/>
      <w:numFmt w:val="bullet"/>
      <w:lvlText w:val="-"/>
      <w:lvlJc w:val="left"/>
      <w:pPr>
        <w:ind w:left="2517" w:hanging="360"/>
      </w:pPr>
      <w:rPr>
        <w:rFonts w:ascii="Arial" w:eastAsiaTheme="minorHAnsi" w:hAnsi="Arial" w:cs="Arial"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3" w15:restartNumberingAfterBreak="0">
    <w:nsid w:val="51740E0F"/>
    <w:multiLevelType w:val="hybridMultilevel"/>
    <w:tmpl w:val="FC0874C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51B12BDD"/>
    <w:multiLevelType w:val="hybridMultilevel"/>
    <w:tmpl w:val="7C6EE368"/>
    <w:lvl w:ilvl="0" w:tplc="14090005">
      <w:start w:val="1"/>
      <w:numFmt w:val="bullet"/>
      <w:lvlText w:val=""/>
      <w:lvlJc w:val="left"/>
      <w:pPr>
        <w:ind w:left="1077" w:hanging="360"/>
      </w:pPr>
      <w:rPr>
        <w:rFonts w:ascii="Wingdings" w:hAnsi="Wingdings" w:hint="default"/>
      </w:rPr>
    </w:lvl>
    <w:lvl w:ilvl="1" w:tplc="14090005">
      <w:start w:val="1"/>
      <w:numFmt w:val="bullet"/>
      <w:lvlText w:val=""/>
      <w:lvlJc w:val="left"/>
      <w:pPr>
        <w:ind w:left="1797" w:hanging="360"/>
      </w:pPr>
      <w:rPr>
        <w:rFonts w:ascii="Wingdings" w:hAnsi="Wingdings"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5" w15:restartNumberingAfterBreak="0">
    <w:nsid w:val="5A8037CA"/>
    <w:multiLevelType w:val="hybridMultilevel"/>
    <w:tmpl w:val="25E2B8E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3EC277D"/>
    <w:multiLevelType w:val="multilevel"/>
    <w:tmpl w:val="46A4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50FA0"/>
    <w:multiLevelType w:val="hybridMultilevel"/>
    <w:tmpl w:val="2FB802D8"/>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3472AD"/>
    <w:multiLevelType w:val="hybridMultilevel"/>
    <w:tmpl w:val="E5CEB7AA"/>
    <w:lvl w:ilvl="0" w:tplc="E0049170">
      <w:start w:val="1"/>
      <w:numFmt w:val="decimal"/>
      <w:lvlText w:val="%1."/>
      <w:lvlJc w:val="left"/>
      <w:pPr>
        <w:ind w:left="360" w:hanging="360"/>
      </w:pPr>
      <w:rPr>
        <w:rFonts w:hint="default"/>
        <w:b/>
        <w:color w:val="00000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727375A6"/>
    <w:multiLevelType w:val="hybridMultilevel"/>
    <w:tmpl w:val="89E8F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3C63F10"/>
    <w:multiLevelType w:val="hybridMultilevel"/>
    <w:tmpl w:val="22E06462"/>
    <w:lvl w:ilvl="0" w:tplc="14090005">
      <w:start w:val="1"/>
      <w:numFmt w:val="bullet"/>
      <w:lvlText w:val=""/>
      <w:lvlJc w:val="left"/>
      <w:pPr>
        <w:ind w:left="1077" w:hanging="360"/>
      </w:pPr>
      <w:rPr>
        <w:rFonts w:ascii="Wingdings" w:hAnsi="Wingdings" w:hint="default"/>
      </w:rPr>
    </w:lvl>
    <w:lvl w:ilvl="1" w:tplc="14090005">
      <w:start w:val="1"/>
      <w:numFmt w:val="bullet"/>
      <w:lvlText w:val=""/>
      <w:lvlJc w:val="left"/>
      <w:pPr>
        <w:ind w:left="1797" w:hanging="360"/>
      </w:pPr>
      <w:rPr>
        <w:rFonts w:ascii="Wingdings" w:hAnsi="Wingdings"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16cid:durableId="1898318943">
    <w:abstractNumId w:val="14"/>
  </w:num>
  <w:num w:numId="2" w16cid:durableId="2094275365">
    <w:abstractNumId w:val="12"/>
  </w:num>
  <w:num w:numId="3" w16cid:durableId="155145958">
    <w:abstractNumId w:val="20"/>
  </w:num>
  <w:num w:numId="4" w16cid:durableId="2135635794">
    <w:abstractNumId w:val="0"/>
  </w:num>
  <w:num w:numId="5" w16cid:durableId="377049862">
    <w:abstractNumId w:val="3"/>
  </w:num>
  <w:num w:numId="6" w16cid:durableId="119108597">
    <w:abstractNumId w:val="17"/>
  </w:num>
  <w:num w:numId="7" w16cid:durableId="791902086">
    <w:abstractNumId w:val="5"/>
  </w:num>
  <w:num w:numId="8" w16cid:durableId="1872842171">
    <w:abstractNumId w:val="11"/>
  </w:num>
  <w:num w:numId="9" w16cid:durableId="1054474767">
    <w:abstractNumId w:val="15"/>
  </w:num>
  <w:num w:numId="10" w16cid:durableId="1034844579">
    <w:abstractNumId w:val="2"/>
  </w:num>
  <w:num w:numId="11" w16cid:durableId="166597725">
    <w:abstractNumId w:val="10"/>
  </w:num>
  <w:num w:numId="12" w16cid:durableId="1994096248">
    <w:abstractNumId w:val="6"/>
  </w:num>
  <w:num w:numId="13" w16cid:durableId="425272772">
    <w:abstractNumId w:val="8"/>
  </w:num>
  <w:num w:numId="14" w16cid:durableId="1072240522">
    <w:abstractNumId w:val="7"/>
  </w:num>
  <w:num w:numId="15" w16cid:durableId="1961262658">
    <w:abstractNumId w:val="9"/>
  </w:num>
  <w:num w:numId="16" w16cid:durableId="2048918073">
    <w:abstractNumId w:val="16"/>
  </w:num>
  <w:num w:numId="17" w16cid:durableId="1804496656">
    <w:abstractNumId w:val="4"/>
  </w:num>
  <w:num w:numId="18" w16cid:durableId="662395986">
    <w:abstractNumId w:val="1"/>
  </w:num>
  <w:num w:numId="19" w16cid:durableId="2143813791">
    <w:abstractNumId w:val="18"/>
  </w:num>
  <w:num w:numId="20" w16cid:durableId="1359351466">
    <w:abstractNumId w:val="13"/>
  </w:num>
  <w:num w:numId="21" w16cid:durableId="3645998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41"/>
    <w:rsid w:val="00007B09"/>
    <w:rsid w:val="000127B9"/>
    <w:rsid w:val="0003438D"/>
    <w:rsid w:val="000418C1"/>
    <w:rsid w:val="00052CF6"/>
    <w:rsid w:val="00054E77"/>
    <w:rsid w:val="0006034A"/>
    <w:rsid w:val="00084EE7"/>
    <w:rsid w:val="000911E0"/>
    <w:rsid w:val="000954EC"/>
    <w:rsid w:val="000A20B7"/>
    <w:rsid w:val="000A2A08"/>
    <w:rsid w:val="000B298D"/>
    <w:rsid w:val="000C0A12"/>
    <w:rsid w:val="000C29AB"/>
    <w:rsid w:val="000C7F4F"/>
    <w:rsid w:val="00107512"/>
    <w:rsid w:val="0011064E"/>
    <w:rsid w:val="00117F31"/>
    <w:rsid w:val="00146613"/>
    <w:rsid w:val="001507F9"/>
    <w:rsid w:val="00160BDF"/>
    <w:rsid w:val="00166211"/>
    <w:rsid w:val="0017296C"/>
    <w:rsid w:val="001730A8"/>
    <w:rsid w:val="00196128"/>
    <w:rsid w:val="001A798C"/>
    <w:rsid w:val="001B19D8"/>
    <w:rsid w:val="001D3F9A"/>
    <w:rsid w:val="001D57C8"/>
    <w:rsid w:val="001E69A3"/>
    <w:rsid w:val="001F3EE7"/>
    <w:rsid w:val="00200704"/>
    <w:rsid w:val="002057A0"/>
    <w:rsid w:val="00222210"/>
    <w:rsid w:val="0023151E"/>
    <w:rsid w:val="00231741"/>
    <w:rsid w:val="00286A66"/>
    <w:rsid w:val="002A5C65"/>
    <w:rsid w:val="002C629B"/>
    <w:rsid w:val="002F036F"/>
    <w:rsid w:val="00304B51"/>
    <w:rsid w:val="0031143A"/>
    <w:rsid w:val="00313E03"/>
    <w:rsid w:val="00315AA5"/>
    <w:rsid w:val="00316E88"/>
    <w:rsid w:val="00322FCE"/>
    <w:rsid w:val="00347454"/>
    <w:rsid w:val="00353075"/>
    <w:rsid w:val="003650A2"/>
    <w:rsid w:val="00380938"/>
    <w:rsid w:val="00384FA7"/>
    <w:rsid w:val="0038679D"/>
    <w:rsid w:val="0039424A"/>
    <w:rsid w:val="003C123F"/>
    <w:rsid w:val="003E7F78"/>
    <w:rsid w:val="00401C01"/>
    <w:rsid w:val="004048AA"/>
    <w:rsid w:val="00404B1A"/>
    <w:rsid w:val="00414986"/>
    <w:rsid w:val="00421662"/>
    <w:rsid w:val="0042792E"/>
    <w:rsid w:val="00456E92"/>
    <w:rsid w:val="00457655"/>
    <w:rsid w:val="00471870"/>
    <w:rsid w:val="00475362"/>
    <w:rsid w:val="00494734"/>
    <w:rsid w:val="004B344F"/>
    <w:rsid w:val="004B7D6C"/>
    <w:rsid w:val="004C4B68"/>
    <w:rsid w:val="004C530D"/>
    <w:rsid w:val="004D24E2"/>
    <w:rsid w:val="004D42B6"/>
    <w:rsid w:val="004E1201"/>
    <w:rsid w:val="00514B3E"/>
    <w:rsid w:val="005231C0"/>
    <w:rsid w:val="00525B7B"/>
    <w:rsid w:val="00544775"/>
    <w:rsid w:val="005531EF"/>
    <w:rsid w:val="0057326F"/>
    <w:rsid w:val="00592A26"/>
    <w:rsid w:val="005A13B8"/>
    <w:rsid w:val="005A33FA"/>
    <w:rsid w:val="005A7C36"/>
    <w:rsid w:val="005C2364"/>
    <w:rsid w:val="005D4225"/>
    <w:rsid w:val="005E75FE"/>
    <w:rsid w:val="00607318"/>
    <w:rsid w:val="00620F63"/>
    <w:rsid w:val="00627AE2"/>
    <w:rsid w:val="006378A1"/>
    <w:rsid w:val="0066198B"/>
    <w:rsid w:val="006861CF"/>
    <w:rsid w:val="006869C5"/>
    <w:rsid w:val="006876E8"/>
    <w:rsid w:val="006A41A7"/>
    <w:rsid w:val="006A597E"/>
    <w:rsid w:val="006C2968"/>
    <w:rsid w:val="006C359C"/>
    <w:rsid w:val="006D544C"/>
    <w:rsid w:val="006E55FF"/>
    <w:rsid w:val="006E7155"/>
    <w:rsid w:val="006F079F"/>
    <w:rsid w:val="00702CDC"/>
    <w:rsid w:val="007124EA"/>
    <w:rsid w:val="007165FD"/>
    <w:rsid w:val="007362FC"/>
    <w:rsid w:val="00740905"/>
    <w:rsid w:val="00754156"/>
    <w:rsid w:val="00766B1F"/>
    <w:rsid w:val="00776BB3"/>
    <w:rsid w:val="007829F0"/>
    <w:rsid w:val="007867DB"/>
    <w:rsid w:val="00786A77"/>
    <w:rsid w:val="00796096"/>
    <w:rsid w:val="007A4B3A"/>
    <w:rsid w:val="007B2CB5"/>
    <w:rsid w:val="007C4860"/>
    <w:rsid w:val="007D544A"/>
    <w:rsid w:val="007E32CD"/>
    <w:rsid w:val="0081085F"/>
    <w:rsid w:val="0081716D"/>
    <w:rsid w:val="00836940"/>
    <w:rsid w:val="008407D5"/>
    <w:rsid w:val="00843896"/>
    <w:rsid w:val="00844942"/>
    <w:rsid w:val="008520C3"/>
    <w:rsid w:val="00854CEF"/>
    <w:rsid w:val="00861517"/>
    <w:rsid w:val="00883F49"/>
    <w:rsid w:val="00886835"/>
    <w:rsid w:val="00890C5A"/>
    <w:rsid w:val="008A06B8"/>
    <w:rsid w:val="008D2B9A"/>
    <w:rsid w:val="009055A5"/>
    <w:rsid w:val="00905DE1"/>
    <w:rsid w:val="00914C49"/>
    <w:rsid w:val="00940AA0"/>
    <w:rsid w:val="00951978"/>
    <w:rsid w:val="00953742"/>
    <w:rsid w:val="00961EA1"/>
    <w:rsid w:val="00971CC1"/>
    <w:rsid w:val="00980B9A"/>
    <w:rsid w:val="009946FF"/>
    <w:rsid w:val="009A3D71"/>
    <w:rsid w:val="009A5ECE"/>
    <w:rsid w:val="009B51C2"/>
    <w:rsid w:val="009B598F"/>
    <w:rsid w:val="009B7D06"/>
    <w:rsid w:val="009F04E2"/>
    <w:rsid w:val="009F6F04"/>
    <w:rsid w:val="00A27044"/>
    <w:rsid w:val="00A3501C"/>
    <w:rsid w:val="00A6408D"/>
    <w:rsid w:val="00AD20A9"/>
    <w:rsid w:val="00B10111"/>
    <w:rsid w:val="00B519C2"/>
    <w:rsid w:val="00B52284"/>
    <w:rsid w:val="00B714F9"/>
    <w:rsid w:val="00B824FE"/>
    <w:rsid w:val="00B96BBB"/>
    <w:rsid w:val="00BA1D71"/>
    <w:rsid w:val="00BE7323"/>
    <w:rsid w:val="00BF6D45"/>
    <w:rsid w:val="00C134F2"/>
    <w:rsid w:val="00C16EFA"/>
    <w:rsid w:val="00C211C8"/>
    <w:rsid w:val="00C21943"/>
    <w:rsid w:val="00C24009"/>
    <w:rsid w:val="00C250BD"/>
    <w:rsid w:val="00C30644"/>
    <w:rsid w:val="00C34F20"/>
    <w:rsid w:val="00CA05EC"/>
    <w:rsid w:val="00CA692B"/>
    <w:rsid w:val="00CA6B4B"/>
    <w:rsid w:val="00CB0CB4"/>
    <w:rsid w:val="00CB4E79"/>
    <w:rsid w:val="00CB65CC"/>
    <w:rsid w:val="00CB6D9C"/>
    <w:rsid w:val="00CC5101"/>
    <w:rsid w:val="00CF527A"/>
    <w:rsid w:val="00D01350"/>
    <w:rsid w:val="00D13A81"/>
    <w:rsid w:val="00D238D4"/>
    <w:rsid w:val="00D275CF"/>
    <w:rsid w:val="00D45549"/>
    <w:rsid w:val="00D46FEA"/>
    <w:rsid w:val="00D64777"/>
    <w:rsid w:val="00DA0C99"/>
    <w:rsid w:val="00DB3F38"/>
    <w:rsid w:val="00DB6D93"/>
    <w:rsid w:val="00DC103E"/>
    <w:rsid w:val="00DF2CF4"/>
    <w:rsid w:val="00DF3F7D"/>
    <w:rsid w:val="00DF5E9C"/>
    <w:rsid w:val="00E03148"/>
    <w:rsid w:val="00E04CC6"/>
    <w:rsid w:val="00E155EE"/>
    <w:rsid w:val="00E266E3"/>
    <w:rsid w:val="00E30214"/>
    <w:rsid w:val="00E46902"/>
    <w:rsid w:val="00E52D95"/>
    <w:rsid w:val="00E53074"/>
    <w:rsid w:val="00E53574"/>
    <w:rsid w:val="00E91CFD"/>
    <w:rsid w:val="00EC325E"/>
    <w:rsid w:val="00ED229B"/>
    <w:rsid w:val="00ED6449"/>
    <w:rsid w:val="00EE6BDE"/>
    <w:rsid w:val="00EE756F"/>
    <w:rsid w:val="00EF420E"/>
    <w:rsid w:val="00F03DA2"/>
    <w:rsid w:val="00F10154"/>
    <w:rsid w:val="00F325A7"/>
    <w:rsid w:val="00F379E0"/>
    <w:rsid w:val="00F454D3"/>
    <w:rsid w:val="00F71E2A"/>
    <w:rsid w:val="00F80D93"/>
    <w:rsid w:val="00F9749A"/>
    <w:rsid w:val="00FA0D55"/>
    <w:rsid w:val="00FA1663"/>
    <w:rsid w:val="00FA25F3"/>
    <w:rsid w:val="00FC6A74"/>
    <w:rsid w:val="00FD0045"/>
    <w:rsid w:val="00FD5E8E"/>
    <w:rsid w:val="00FF21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1AF8"/>
  <w15:chartTrackingRefBased/>
  <w15:docId w15:val="{7BF8F598-F994-4B48-9AB0-73162552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31">
    <w:name w:val="Light List - Accent 31"/>
    <w:basedOn w:val="TableNormal"/>
    <w:next w:val="LightList-Accent3"/>
    <w:uiPriority w:val="61"/>
    <w:rsid w:val="00231741"/>
    <w:pPr>
      <w:spacing w:after="0" w:line="240" w:lineRule="auto"/>
    </w:pPr>
    <w:rPr>
      <w:rFonts w:eastAsia="Times New Roman"/>
      <w:kern w:val="0"/>
      <w:lang w:val="en-US" w:eastAsia="ja-JP"/>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Grid">
    <w:name w:val="Table Grid"/>
    <w:basedOn w:val="TableNormal"/>
    <w:uiPriority w:val="59"/>
    <w:rsid w:val="002317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3174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231741"/>
    <w:rPr>
      <w:kern w:val="0"/>
      <w:sz w:val="20"/>
      <w:szCs w:val="20"/>
      <w14:ligatures w14:val="none"/>
    </w:rPr>
  </w:style>
  <w:style w:type="character" w:styleId="FootnoteReference">
    <w:name w:val="footnote reference"/>
    <w:basedOn w:val="DefaultParagraphFont"/>
    <w:uiPriority w:val="99"/>
    <w:semiHidden/>
    <w:unhideWhenUsed/>
    <w:rsid w:val="00231741"/>
    <w:rPr>
      <w:vertAlign w:val="superscript"/>
    </w:rPr>
  </w:style>
  <w:style w:type="character" w:styleId="CommentReference">
    <w:name w:val="annotation reference"/>
    <w:basedOn w:val="DefaultParagraphFont"/>
    <w:uiPriority w:val="99"/>
    <w:semiHidden/>
    <w:unhideWhenUsed/>
    <w:rsid w:val="00231741"/>
    <w:rPr>
      <w:sz w:val="16"/>
      <w:szCs w:val="16"/>
    </w:rPr>
  </w:style>
  <w:style w:type="paragraph" w:styleId="CommentText">
    <w:name w:val="annotation text"/>
    <w:basedOn w:val="Normal"/>
    <w:link w:val="CommentTextChar"/>
    <w:uiPriority w:val="99"/>
    <w:unhideWhenUsed/>
    <w:rsid w:val="00231741"/>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31741"/>
    <w:rPr>
      <w:kern w:val="0"/>
      <w:sz w:val="20"/>
      <w:szCs w:val="20"/>
      <w14:ligatures w14:val="none"/>
    </w:rPr>
  </w:style>
  <w:style w:type="table" w:styleId="LightList-Accent3">
    <w:name w:val="Light List Accent 3"/>
    <w:basedOn w:val="TableNormal"/>
    <w:uiPriority w:val="61"/>
    <w:semiHidden/>
    <w:unhideWhenUsed/>
    <w:rsid w:val="002317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Header">
    <w:name w:val="header"/>
    <w:basedOn w:val="Normal"/>
    <w:link w:val="HeaderChar"/>
    <w:uiPriority w:val="99"/>
    <w:unhideWhenUsed/>
    <w:rsid w:val="00F8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D93"/>
  </w:style>
  <w:style w:type="paragraph" w:styleId="Footer">
    <w:name w:val="footer"/>
    <w:basedOn w:val="Normal"/>
    <w:link w:val="FooterChar"/>
    <w:uiPriority w:val="99"/>
    <w:unhideWhenUsed/>
    <w:rsid w:val="00F80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D93"/>
  </w:style>
  <w:style w:type="paragraph" w:styleId="Revision">
    <w:name w:val="Revision"/>
    <w:hidden/>
    <w:uiPriority w:val="99"/>
    <w:semiHidden/>
    <w:rsid w:val="000C29AB"/>
    <w:pPr>
      <w:spacing w:after="0" w:line="240" w:lineRule="auto"/>
    </w:pPr>
  </w:style>
  <w:style w:type="paragraph" w:styleId="CommentSubject">
    <w:name w:val="annotation subject"/>
    <w:basedOn w:val="CommentText"/>
    <w:next w:val="CommentText"/>
    <w:link w:val="CommentSubjectChar"/>
    <w:uiPriority w:val="99"/>
    <w:semiHidden/>
    <w:unhideWhenUsed/>
    <w:rsid w:val="00620F63"/>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620F63"/>
    <w:rPr>
      <w:b/>
      <w:bCs/>
      <w:kern w:val="0"/>
      <w:sz w:val="20"/>
      <w:szCs w:val="20"/>
      <w14:ligatures w14:val="none"/>
    </w:rPr>
  </w:style>
  <w:style w:type="paragraph" w:styleId="ListParagraph">
    <w:name w:val="List Paragraph"/>
    <w:basedOn w:val="Normal"/>
    <w:uiPriority w:val="34"/>
    <w:qFormat/>
    <w:rsid w:val="004D24E2"/>
    <w:pPr>
      <w:spacing w:after="200" w:line="276" w:lineRule="auto"/>
      <w:ind w:left="720"/>
      <w:contextualSpacing/>
    </w:pPr>
    <w:rPr>
      <w:rFonts w:ascii="Calibri" w:eastAsia="Calibri" w:hAnsi="Calibri" w:cs="Calibri"/>
      <w:kern w:val="0"/>
      <w:lang w:eastAsia="en-NZ"/>
      <w14:ligatures w14:val="none"/>
    </w:rPr>
  </w:style>
  <w:style w:type="character" w:styleId="Hyperlink">
    <w:name w:val="Hyperlink"/>
    <w:basedOn w:val="DefaultParagraphFont"/>
    <w:uiPriority w:val="99"/>
    <w:unhideWhenUsed/>
    <w:rsid w:val="009B598F"/>
    <w:rPr>
      <w:color w:val="0563C1" w:themeColor="hyperlink"/>
      <w:u w:val="single"/>
    </w:rPr>
  </w:style>
  <w:style w:type="character" w:styleId="UnresolvedMention">
    <w:name w:val="Unresolved Mention"/>
    <w:basedOn w:val="DefaultParagraphFont"/>
    <w:uiPriority w:val="99"/>
    <w:semiHidden/>
    <w:unhideWhenUsed/>
    <w:rsid w:val="009B598F"/>
    <w:rPr>
      <w:color w:val="605E5C"/>
      <w:shd w:val="clear" w:color="auto" w:fill="E1DFDD"/>
    </w:rPr>
  </w:style>
  <w:style w:type="character" w:styleId="FollowedHyperlink">
    <w:name w:val="FollowedHyperlink"/>
    <w:basedOn w:val="DefaultParagraphFont"/>
    <w:uiPriority w:val="99"/>
    <w:semiHidden/>
    <w:unhideWhenUsed/>
    <w:rsid w:val="00525B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ertqual.co.nz/spreadma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ertqual.co.nz/spreadmar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ertqual.co.nz/resourc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528131765F6545973BDCF3AC8C42A5" ma:contentTypeVersion="18" ma:contentTypeDescription="Create a new document." ma:contentTypeScope="" ma:versionID="706d261599d2126e8c236bd95f836830">
  <xsd:schema xmlns:xsd="http://www.w3.org/2001/XMLSchema" xmlns:xs="http://www.w3.org/2001/XMLSchema" xmlns:p="http://schemas.microsoft.com/office/2006/metadata/properties" xmlns:ns2="343c5b23-d0be-49e5-b89b-ccb1dc4f6069" xmlns:ns3="87ca9139-3b0a-4ac8-9142-1846b4fe7204" targetNamespace="http://schemas.microsoft.com/office/2006/metadata/properties" ma:root="true" ma:fieldsID="5c6a9ab6cefc87d18d160de233a0f017" ns2:_="" ns3:_="">
    <xsd:import namespace="343c5b23-d0be-49e5-b89b-ccb1dc4f6069"/>
    <xsd:import namespace="87ca9139-3b0a-4ac8-9142-1846b4fe7204"/>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c5b23-d0be-49e5-b89b-ccb1dc4f606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088a8-313d-4ffc-99d3-94987a022b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a9139-3b0a-4ac8-9142-1846b4fe72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caf2add-a973-40ee-b9bb-4ae4708f26d5}" ma:internalName="TaxCatchAll" ma:showField="CatchAllData" ma:web="87ca9139-3b0a-4ac8-9142-1846b4fe7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A955E-FC4D-4838-9830-E0886BC48BE7}">
  <ds:schemaRefs>
    <ds:schemaRef ds:uri="http://schemas.microsoft.com/sharepoint/v3/contenttype/forms"/>
  </ds:schemaRefs>
</ds:datastoreItem>
</file>

<file path=customXml/itemProps2.xml><?xml version="1.0" encoding="utf-8"?>
<ds:datastoreItem xmlns:ds="http://schemas.openxmlformats.org/officeDocument/2006/customXml" ds:itemID="{29690EEC-1B33-4684-9B34-22DE7DE11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c5b23-d0be-49e5-b89b-ccb1dc4f6069"/>
    <ds:schemaRef ds:uri="87ca9139-3b0a-4ac8-9142-1846b4fe7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2537</Words>
  <Characters>14464</Characters>
  <Application>Microsoft Office Word</Application>
  <DocSecurity>0</DocSecurity>
  <Lines>120</Lines>
  <Paragraphs>33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Fietje</dc:creator>
  <cp:keywords/>
  <dc:description/>
  <cp:lastModifiedBy>Leo Fietje</cp:lastModifiedBy>
  <cp:revision>17</cp:revision>
  <cp:lastPrinted>2024-03-16T03:39:00Z</cp:lastPrinted>
  <dcterms:created xsi:type="dcterms:W3CDTF">2024-06-29T02:20:00Z</dcterms:created>
  <dcterms:modified xsi:type="dcterms:W3CDTF">2024-07-01T00:21:00Z</dcterms:modified>
</cp:coreProperties>
</file>