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5ACAD" w14:textId="72AD172A" w:rsidR="00B23933" w:rsidRPr="00925455" w:rsidRDefault="00B23933" w:rsidP="00925455">
      <w:pPr>
        <w:spacing w:after="600"/>
        <w:jc w:val="center"/>
        <w:rPr>
          <w:rFonts w:ascii="Arial" w:eastAsia="Arial" w:hAnsi="Arial" w:cs="Arial"/>
          <w:b/>
          <w:smallCaps/>
          <w:sz w:val="36"/>
          <w:szCs w:val="36"/>
        </w:rPr>
      </w:pPr>
      <w:r w:rsidRPr="00B23933">
        <w:rPr>
          <w:noProof/>
        </w:rPr>
        <w:drawing>
          <wp:inline distT="0" distB="0" distL="0" distR="0" wp14:anchorId="293349DF" wp14:editId="2FA5C62E">
            <wp:extent cx="5731510" cy="4036695"/>
            <wp:effectExtent l="0" t="0" r="2540" b="1905"/>
            <wp:docPr id="156033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36723" name=""/>
                    <pic:cNvPicPr/>
                  </pic:nvPicPr>
                  <pic:blipFill>
                    <a:blip r:embed="rId8"/>
                    <a:stretch>
                      <a:fillRect/>
                    </a:stretch>
                  </pic:blipFill>
                  <pic:spPr>
                    <a:xfrm>
                      <a:off x="0" y="0"/>
                      <a:ext cx="5731510" cy="4036695"/>
                    </a:xfrm>
                    <a:prstGeom prst="rect">
                      <a:avLst/>
                    </a:prstGeom>
                  </pic:spPr>
                </pic:pic>
              </a:graphicData>
            </a:graphic>
          </wp:inline>
        </w:drawing>
      </w:r>
    </w:p>
    <w:p w14:paraId="0ED419DB" w14:textId="1258EEA8" w:rsidR="00FB1F6A" w:rsidRDefault="00FB1F6A" w:rsidP="00B23933">
      <w:pPr>
        <w:pBdr>
          <w:bottom w:val="single" w:sz="6" w:space="1" w:color="4F6228"/>
        </w:pBdr>
        <w:spacing w:after="240"/>
        <w:ind w:left="567" w:right="567"/>
        <w:jc w:val="center"/>
        <w:rPr>
          <w:b/>
          <w:color w:val="869D69"/>
          <w:sz w:val="72"/>
          <w:szCs w:val="72"/>
        </w:rPr>
      </w:pPr>
      <w:r>
        <w:rPr>
          <w:b/>
          <w:color w:val="869D69"/>
          <w:sz w:val="72"/>
          <w:szCs w:val="72"/>
        </w:rPr>
        <w:t xml:space="preserve">Booklet </w:t>
      </w:r>
      <w:r w:rsidR="00005C37">
        <w:rPr>
          <w:b/>
          <w:color w:val="869D69"/>
          <w:sz w:val="72"/>
          <w:szCs w:val="72"/>
        </w:rPr>
        <w:t>One</w:t>
      </w:r>
    </w:p>
    <w:p w14:paraId="15AEDF72" w14:textId="60EB91B1" w:rsidR="00D67968" w:rsidRPr="00D67968" w:rsidRDefault="00D67968" w:rsidP="00D67968">
      <w:pPr>
        <w:pBdr>
          <w:bottom w:val="single" w:sz="6" w:space="1" w:color="4F6228"/>
        </w:pBdr>
        <w:spacing w:after="240"/>
        <w:ind w:left="567" w:right="567"/>
        <w:jc w:val="center"/>
        <w:rPr>
          <w:b/>
          <w:color w:val="869D69"/>
          <w:sz w:val="36"/>
          <w:szCs w:val="36"/>
        </w:rPr>
      </w:pPr>
      <w:r w:rsidRPr="00D67968">
        <w:rPr>
          <w:b/>
          <w:color w:val="869D69"/>
          <w:sz w:val="36"/>
          <w:szCs w:val="36"/>
        </w:rPr>
        <w:t>of the</w:t>
      </w:r>
    </w:p>
    <w:p w14:paraId="2FE98835" w14:textId="70BECA3D" w:rsidR="00D67968" w:rsidRDefault="00D67968" w:rsidP="00D67968">
      <w:pPr>
        <w:pBdr>
          <w:bottom w:val="single" w:sz="6" w:space="1" w:color="4F6228"/>
        </w:pBdr>
        <w:spacing w:after="240"/>
        <w:ind w:left="567" w:right="567"/>
        <w:jc w:val="center"/>
        <w:rPr>
          <w:b/>
          <w:color w:val="869D69"/>
          <w:sz w:val="72"/>
          <w:szCs w:val="72"/>
        </w:rPr>
      </w:pPr>
      <w:r w:rsidRPr="00D67968">
        <w:rPr>
          <w:b/>
          <w:color w:val="869D69"/>
          <w:sz w:val="72"/>
          <w:szCs w:val="72"/>
        </w:rPr>
        <w:t>Spreadmark Code of Practice</w:t>
      </w:r>
    </w:p>
    <w:p w14:paraId="61748E6E" w14:textId="77777777" w:rsidR="00377894" w:rsidRPr="00D67968" w:rsidRDefault="00523B62" w:rsidP="00377894">
      <w:pPr>
        <w:pBdr>
          <w:bottom w:val="single" w:sz="6" w:space="1" w:color="4F6228"/>
        </w:pBdr>
        <w:spacing w:after="240"/>
        <w:ind w:left="567" w:right="567"/>
        <w:jc w:val="center"/>
        <w:rPr>
          <w:b/>
          <w:sz w:val="72"/>
          <w:szCs w:val="72"/>
        </w:rPr>
      </w:pPr>
      <w:r w:rsidRPr="00D67968">
        <w:rPr>
          <w:b/>
          <w:sz w:val="72"/>
          <w:szCs w:val="72"/>
        </w:rPr>
        <w:t>Procedures, Protocols, Policies and Codes</w:t>
      </w:r>
    </w:p>
    <w:p w14:paraId="33EE0FED" w14:textId="62E643AB" w:rsidR="00195575" w:rsidRDefault="00195575" w:rsidP="00292058">
      <w:pPr>
        <w:jc w:val="center"/>
        <w:rPr>
          <w:b/>
          <w:sz w:val="28"/>
          <w:szCs w:val="28"/>
        </w:rPr>
      </w:pPr>
      <w:r w:rsidRPr="00A36A78">
        <w:rPr>
          <w:b/>
          <w:sz w:val="28"/>
          <w:szCs w:val="28"/>
        </w:rPr>
        <w:lastRenderedPageBreak/>
        <w:t>SPREADMARK PROCEDURES, PROTOCOLS, POLICIES AND CODES</w:t>
      </w:r>
    </w:p>
    <w:p w14:paraId="08C071CE" w14:textId="076A8F67" w:rsidR="00676199" w:rsidRPr="00676199" w:rsidRDefault="00676199" w:rsidP="00195575">
      <w:pPr>
        <w:rPr>
          <w:b/>
          <w:sz w:val="24"/>
          <w:szCs w:val="24"/>
        </w:rPr>
      </w:pPr>
      <w:r w:rsidRPr="00676199">
        <w:rPr>
          <w:b/>
          <w:sz w:val="24"/>
          <w:szCs w:val="24"/>
        </w:rPr>
        <w:t>INTRODUCTION</w:t>
      </w:r>
    </w:p>
    <w:p w14:paraId="0350D243" w14:textId="296EB6C3" w:rsidR="001D651D" w:rsidRPr="00547314" w:rsidRDefault="00292058" w:rsidP="005A1C9E">
      <w:pPr>
        <w:jc w:val="both"/>
        <w:rPr>
          <w:rFonts w:asciiTheme="minorHAnsi" w:hAnsiTheme="minorHAnsi" w:cstheme="minorHAnsi"/>
          <w:bCs/>
        </w:rPr>
      </w:pPr>
      <w:r w:rsidRPr="00547314">
        <w:rPr>
          <w:rFonts w:asciiTheme="minorHAnsi" w:hAnsiTheme="minorHAnsi" w:cstheme="minorHAnsi"/>
          <w:bCs/>
        </w:rPr>
        <w:t xml:space="preserve">This booklet </w:t>
      </w:r>
      <w:r w:rsidR="002E32EE" w:rsidRPr="00547314">
        <w:rPr>
          <w:rFonts w:asciiTheme="minorHAnsi" w:hAnsiTheme="minorHAnsi" w:cstheme="minorHAnsi"/>
          <w:bCs/>
        </w:rPr>
        <w:t xml:space="preserve">is </w:t>
      </w:r>
      <w:r w:rsidR="0077597F" w:rsidRPr="00547314">
        <w:rPr>
          <w:rFonts w:asciiTheme="minorHAnsi" w:hAnsiTheme="minorHAnsi" w:cstheme="minorHAnsi"/>
          <w:bCs/>
        </w:rPr>
        <w:t>one of f</w:t>
      </w:r>
      <w:r w:rsidR="007A22E3" w:rsidRPr="00547314">
        <w:rPr>
          <w:rFonts w:asciiTheme="minorHAnsi" w:hAnsiTheme="minorHAnsi" w:cstheme="minorHAnsi"/>
          <w:bCs/>
        </w:rPr>
        <w:t xml:space="preserve">our </w:t>
      </w:r>
      <w:r w:rsidR="00E74CEE" w:rsidRPr="00547314">
        <w:rPr>
          <w:rFonts w:asciiTheme="minorHAnsi" w:hAnsiTheme="minorHAnsi" w:cstheme="minorHAnsi"/>
          <w:bCs/>
        </w:rPr>
        <w:t xml:space="preserve">booklets </w:t>
      </w:r>
      <w:r w:rsidR="007A22E3" w:rsidRPr="00547314">
        <w:rPr>
          <w:rFonts w:asciiTheme="minorHAnsi" w:hAnsiTheme="minorHAnsi" w:cstheme="minorHAnsi"/>
          <w:bCs/>
        </w:rPr>
        <w:t xml:space="preserve">containing </w:t>
      </w:r>
      <w:r w:rsidR="00016602" w:rsidRPr="00547314">
        <w:rPr>
          <w:rFonts w:asciiTheme="minorHAnsi" w:hAnsiTheme="minorHAnsi" w:cstheme="minorHAnsi"/>
          <w:bCs/>
        </w:rPr>
        <w:t xml:space="preserve">information </w:t>
      </w:r>
      <w:r w:rsidR="00E74CEE" w:rsidRPr="00547314">
        <w:rPr>
          <w:rFonts w:asciiTheme="minorHAnsi" w:hAnsiTheme="minorHAnsi" w:cstheme="minorHAnsi"/>
          <w:bCs/>
        </w:rPr>
        <w:t>that supports</w:t>
      </w:r>
      <w:r w:rsidR="00EF3BF4" w:rsidRPr="00547314">
        <w:rPr>
          <w:rFonts w:asciiTheme="minorHAnsi" w:hAnsiTheme="minorHAnsi" w:cstheme="minorHAnsi"/>
          <w:bCs/>
        </w:rPr>
        <w:t xml:space="preserve"> </w:t>
      </w:r>
      <w:r w:rsidR="009E115D" w:rsidRPr="00547314">
        <w:rPr>
          <w:rFonts w:asciiTheme="minorHAnsi" w:hAnsiTheme="minorHAnsi" w:cstheme="minorHAnsi"/>
          <w:bCs/>
        </w:rPr>
        <w:t xml:space="preserve">the </w:t>
      </w:r>
      <w:r w:rsidR="00846C0D" w:rsidRPr="00547314">
        <w:rPr>
          <w:rFonts w:asciiTheme="minorHAnsi" w:hAnsiTheme="minorHAnsi" w:cstheme="minorHAnsi"/>
          <w:bCs/>
        </w:rPr>
        <w:t xml:space="preserve">Spreadmark </w:t>
      </w:r>
      <w:r w:rsidR="009E115D" w:rsidRPr="00547314">
        <w:rPr>
          <w:rFonts w:asciiTheme="minorHAnsi" w:hAnsiTheme="minorHAnsi" w:cstheme="minorHAnsi"/>
          <w:bCs/>
        </w:rPr>
        <w:t xml:space="preserve">Code of Practice </w:t>
      </w:r>
      <w:r w:rsidR="00B11D93" w:rsidRPr="00547314">
        <w:rPr>
          <w:rFonts w:asciiTheme="minorHAnsi" w:hAnsiTheme="minorHAnsi" w:cstheme="minorHAnsi"/>
          <w:bCs/>
        </w:rPr>
        <w:t>for the Application of Nutrients in New Zealand</w:t>
      </w:r>
      <w:r w:rsidR="00F0755D" w:rsidRPr="00547314">
        <w:rPr>
          <w:rFonts w:asciiTheme="minorHAnsi" w:hAnsiTheme="minorHAnsi" w:cstheme="minorHAnsi"/>
          <w:bCs/>
        </w:rPr>
        <w:t xml:space="preserve"> </w:t>
      </w:r>
    </w:p>
    <w:p w14:paraId="44F1EF20" w14:textId="7C29DCD3" w:rsidR="00E826C0" w:rsidRPr="00547314" w:rsidRDefault="001D651D" w:rsidP="005A1C9E">
      <w:pPr>
        <w:jc w:val="both"/>
        <w:rPr>
          <w:rFonts w:asciiTheme="minorHAnsi" w:hAnsiTheme="minorHAnsi" w:cstheme="minorHAnsi"/>
          <w:bCs/>
        </w:rPr>
      </w:pPr>
      <w:r w:rsidRPr="00547314">
        <w:rPr>
          <w:rFonts w:asciiTheme="minorHAnsi" w:hAnsiTheme="minorHAnsi" w:cstheme="minorHAnsi"/>
          <w:bCs/>
        </w:rPr>
        <w:t xml:space="preserve">The Spreadmark Code of Practice can be </w:t>
      </w:r>
      <w:r w:rsidR="0073600D" w:rsidRPr="00547314">
        <w:rPr>
          <w:rFonts w:asciiTheme="minorHAnsi" w:hAnsiTheme="minorHAnsi" w:cstheme="minorHAnsi"/>
          <w:bCs/>
        </w:rPr>
        <w:t xml:space="preserve">found here </w:t>
      </w:r>
      <w:hyperlink r:id="rId9" w:history="1">
        <w:r w:rsidR="0073600D" w:rsidRPr="00547314">
          <w:rPr>
            <w:rStyle w:val="Hyperlink"/>
            <w:rFonts w:asciiTheme="minorHAnsi" w:hAnsiTheme="minorHAnsi" w:cstheme="minorHAnsi"/>
            <w:bCs/>
          </w:rPr>
          <w:t>https://fertqual.co.nz/resources/</w:t>
        </w:r>
      </w:hyperlink>
      <w:r w:rsidR="00F0755D" w:rsidRPr="00547314">
        <w:rPr>
          <w:rFonts w:asciiTheme="minorHAnsi" w:hAnsiTheme="minorHAnsi" w:cstheme="minorHAnsi"/>
          <w:bCs/>
        </w:rPr>
        <w:t xml:space="preserve"> </w:t>
      </w:r>
    </w:p>
    <w:p w14:paraId="4D5F7D0D" w14:textId="2F2D3353" w:rsidR="00815B83" w:rsidRPr="00547314" w:rsidRDefault="001D651D" w:rsidP="005A1C9E">
      <w:pPr>
        <w:jc w:val="both"/>
        <w:rPr>
          <w:rFonts w:asciiTheme="minorHAnsi" w:hAnsiTheme="minorHAnsi" w:cstheme="minorHAnsi"/>
          <w:bCs/>
        </w:rPr>
      </w:pPr>
      <w:r w:rsidRPr="00547314">
        <w:rPr>
          <w:rFonts w:asciiTheme="minorHAnsi" w:hAnsiTheme="minorHAnsi" w:cstheme="minorHAnsi"/>
          <w:bCs/>
        </w:rPr>
        <w:t>This b</w:t>
      </w:r>
      <w:r w:rsidR="00E72471" w:rsidRPr="00547314">
        <w:rPr>
          <w:rFonts w:asciiTheme="minorHAnsi" w:hAnsiTheme="minorHAnsi" w:cstheme="minorHAnsi"/>
          <w:bCs/>
        </w:rPr>
        <w:t>ooklet</w:t>
      </w:r>
      <w:r w:rsidR="007A22E3" w:rsidRPr="00547314">
        <w:rPr>
          <w:rFonts w:asciiTheme="minorHAnsi" w:hAnsiTheme="minorHAnsi" w:cstheme="minorHAnsi"/>
          <w:bCs/>
        </w:rPr>
        <w:t xml:space="preserve"> forms part of th</w:t>
      </w:r>
      <w:r w:rsidR="00016602" w:rsidRPr="00547314">
        <w:rPr>
          <w:rFonts w:asciiTheme="minorHAnsi" w:hAnsiTheme="minorHAnsi" w:cstheme="minorHAnsi"/>
          <w:bCs/>
        </w:rPr>
        <w:t>e</w:t>
      </w:r>
      <w:r w:rsidR="007A22E3" w:rsidRPr="00547314">
        <w:rPr>
          <w:rFonts w:asciiTheme="minorHAnsi" w:hAnsiTheme="minorHAnsi" w:cstheme="minorHAnsi"/>
          <w:bCs/>
        </w:rPr>
        <w:t xml:space="preserve"> Code </w:t>
      </w:r>
      <w:r w:rsidR="00307238" w:rsidRPr="00547314">
        <w:rPr>
          <w:rFonts w:asciiTheme="minorHAnsi" w:hAnsiTheme="minorHAnsi" w:cstheme="minorHAnsi"/>
          <w:bCs/>
        </w:rPr>
        <w:t>and</w:t>
      </w:r>
      <w:r w:rsidR="0022058B" w:rsidRPr="00547314">
        <w:rPr>
          <w:rFonts w:asciiTheme="minorHAnsi" w:hAnsiTheme="minorHAnsi" w:cstheme="minorHAnsi"/>
          <w:bCs/>
        </w:rPr>
        <w:t xml:space="preserve"> </w:t>
      </w:r>
      <w:r w:rsidR="00F0755D" w:rsidRPr="00547314">
        <w:rPr>
          <w:rFonts w:asciiTheme="minorHAnsi" w:hAnsiTheme="minorHAnsi" w:cstheme="minorHAnsi"/>
          <w:bCs/>
        </w:rPr>
        <w:t xml:space="preserve">all </w:t>
      </w:r>
      <w:r w:rsidR="0022058B" w:rsidRPr="00547314">
        <w:rPr>
          <w:rFonts w:asciiTheme="minorHAnsi" w:hAnsiTheme="minorHAnsi" w:cstheme="minorHAnsi"/>
          <w:bCs/>
        </w:rPr>
        <w:t>information</w:t>
      </w:r>
      <w:r w:rsidR="00355BF8" w:rsidRPr="00547314">
        <w:rPr>
          <w:rFonts w:asciiTheme="minorHAnsi" w:hAnsiTheme="minorHAnsi" w:cstheme="minorHAnsi"/>
          <w:bCs/>
        </w:rPr>
        <w:t xml:space="preserve"> </w:t>
      </w:r>
      <w:r w:rsidR="0022058B" w:rsidRPr="00547314">
        <w:rPr>
          <w:rFonts w:asciiTheme="minorHAnsi" w:hAnsiTheme="minorHAnsi" w:cstheme="minorHAnsi"/>
          <w:bCs/>
        </w:rPr>
        <w:t xml:space="preserve">related to </w:t>
      </w:r>
      <w:r w:rsidR="00F84C95" w:rsidRPr="00547314">
        <w:rPr>
          <w:rFonts w:asciiTheme="minorHAnsi" w:hAnsiTheme="minorHAnsi" w:cstheme="minorHAnsi"/>
          <w:bCs/>
        </w:rPr>
        <w:t>c</w:t>
      </w:r>
      <w:r w:rsidR="009D1E22" w:rsidRPr="00547314">
        <w:rPr>
          <w:rFonts w:asciiTheme="minorHAnsi" w:hAnsiTheme="minorHAnsi" w:cstheme="minorHAnsi"/>
          <w:bCs/>
        </w:rPr>
        <w:t xml:space="preserve">opyright, </w:t>
      </w:r>
      <w:r w:rsidR="00F84C95" w:rsidRPr="00547314">
        <w:rPr>
          <w:rFonts w:asciiTheme="minorHAnsi" w:hAnsiTheme="minorHAnsi" w:cstheme="minorHAnsi"/>
          <w:bCs/>
        </w:rPr>
        <w:t>d</w:t>
      </w:r>
      <w:r w:rsidR="009D1E22" w:rsidRPr="00547314">
        <w:rPr>
          <w:rFonts w:asciiTheme="minorHAnsi" w:hAnsiTheme="minorHAnsi" w:cstheme="minorHAnsi"/>
          <w:bCs/>
        </w:rPr>
        <w:t xml:space="preserve">ocument </w:t>
      </w:r>
      <w:r w:rsidR="00F84C95" w:rsidRPr="00547314">
        <w:rPr>
          <w:rFonts w:asciiTheme="minorHAnsi" w:hAnsiTheme="minorHAnsi" w:cstheme="minorHAnsi"/>
          <w:bCs/>
        </w:rPr>
        <w:t>c</w:t>
      </w:r>
      <w:r w:rsidR="009D1E22" w:rsidRPr="00547314">
        <w:rPr>
          <w:rFonts w:asciiTheme="minorHAnsi" w:hAnsiTheme="minorHAnsi" w:cstheme="minorHAnsi"/>
          <w:bCs/>
        </w:rPr>
        <w:t xml:space="preserve">ontrol, </w:t>
      </w:r>
      <w:r w:rsidR="00F84C95" w:rsidRPr="00547314">
        <w:rPr>
          <w:rFonts w:asciiTheme="minorHAnsi" w:hAnsiTheme="minorHAnsi" w:cstheme="minorHAnsi"/>
          <w:bCs/>
        </w:rPr>
        <w:t>a</w:t>
      </w:r>
      <w:r w:rsidR="009D1E22" w:rsidRPr="00547314">
        <w:rPr>
          <w:rFonts w:asciiTheme="minorHAnsi" w:hAnsiTheme="minorHAnsi" w:cstheme="minorHAnsi"/>
          <w:bCs/>
        </w:rPr>
        <w:t xml:space="preserve">cknowledgements and </w:t>
      </w:r>
      <w:r w:rsidR="00F84C95" w:rsidRPr="00547314">
        <w:rPr>
          <w:rFonts w:asciiTheme="minorHAnsi" w:hAnsiTheme="minorHAnsi" w:cstheme="minorHAnsi"/>
          <w:bCs/>
        </w:rPr>
        <w:t>g</w:t>
      </w:r>
      <w:r w:rsidR="00355BF8" w:rsidRPr="00547314">
        <w:rPr>
          <w:rFonts w:asciiTheme="minorHAnsi" w:hAnsiTheme="minorHAnsi" w:cstheme="minorHAnsi"/>
          <w:bCs/>
        </w:rPr>
        <w:t xml:space="preserve">lossary </w:t>
      </w:r>
      <w:r w:rsidR="00AD7EBA" w:rsidRPr="00547314">
        <w:rPr>
          <w:rFonts w:asciiTheme="minorHAnsi" w:hAnsiTheme="minorHAnsi" w:cstheme="minorHAnsi"/>
          <w:bCs/>
        </w:rPr>
        <w:t xml:space="preserve">contained </w:t>
      </w:r>
      <w:r w:rsidR="00C731B6" w:rsidRPr="00547314">
        <w:rPr>
          <w:rFonts w:asciiTheme="minorHAnsi" w:hAnsiTheme="minorHAnsi" w:cstheme="minorHAnsi"/>
          <w:bCs/>
        </w:rPr>
        <w:t xml:space="preserve">in the </w:t>
      </w:r>
      <w:r w:rsidR="00E72471" w:rsidRPr="00547314">
        <w:rPr>
          <w:rFonts w:asciiTheme="minorHAnsi" w:hAnsiTheme="minorHAnsi" w:cstheme="minorHAnsi"/>
          <w:bCs/>
        </w:rPr>
        <w:t xml:space="preserve">main </w:t>
      </w:r>
      <w:r w:rsidR="00C731B6" w:rsidRPr="00547314">
        <w:rPr>
          <w:rFonts w:asciiTheme="minorHAnsi" w:hAnsiTheme="minorHAnsi" w:cstheme="minorHAnsi"/>
          <w:bCs/>
        </w:rPr>
        <w:t xml:space="preserve">Code </w:t>
      </w:r>
      <w:r w:rsidR="00355BF8" w:rsidRPr="00547314">
        <w:rPr>
          <w:rFonts w:asciiTheme="minorHAnsi" w:hAnsiTheme="minorHAnsi" w:cstheme="minorHAnsi"/>
          <w:bCs/>
        </w:rPr>
        <w:t xml:space="preserve">apply </w:t>
      </w:r>
      <w:r w:rsidR="00513EF3" w:rsidRPr="00547314">
        <w:rPr>
          <w:rFonts w:asciiTheme="minorHAnsi" w:hAnsiTheme="minorHAnsi" w:cstheme="minorHAnsi"/>
          <w:bCs/>
        </w:rPr>
        <w:t>equally to the information</w:t>
      </w:r>
      <w:r w:rsidR="00AD7EBA" w:rsidRPr="00547314">
        <w:rPr>
          <w:rFonts w:asciiTheme="minorHAnsi" w:hAnsiTheme="minorHAnsi" w:cstheme="minorHAnsi"/>
          <w:bCs/>
        </w:rPr>
        <w:t xml:space="preserve"> in this booklet.</w:t>
      </w:r>
    </w:p>
    <w:p w14:paraId="50C755EE" w14:textId="3BF8AFE6" w:rsidR="00407B93" w:rsidRPr="00547314" w:rsidRDefault="00D530CF" w:rsidP="005A1C9E">
      <w:pPr>
        <w:jc w:val="both"/>
        <w:rPr>
          <w:rFonts w:asciiTheme="minorHAnsi" w:hAnsiTheme="minorHAnsi" w:cstheme="minorHAnsi"/>
          <w:bCs/>
        </w:rPr>
      </w:pPr>
      <w:r w:rsidRPr="00547314">
        <w:rPr>
          <w:rFonts w:asciiTheme="minorHAnsi" w:hAnsiTheme="minorHAnsi" w:cstheme="minorHAnsi"/>
          <w:bCs/>
        </w:rPr>
        <w:t xml:space="preserve">Other </w:t>
      </w:r>
      <w:r w:rsidR="003D7B49" w:rsidRPr="00547314">
        <w:rPr>
          <w:rFonts w:asciiTheme="minorHAnsi" w:hAnsiTheme="minorHAnsi" w:cstheme="minorHAnsi"/>
          <w:bCs/>
        </w:rPr>
        <w:t xml:space="preserve">booklets containing support information </w:t>
      </w:r>
      <w:r w:rsidR="00D96DD1" w:rsidRPr="00547314">
        <w:rPr>
          <w:rFonts w:asciiTheme="minorHAnsi" w:hAnsiTheme="minorHAnsi" w:cstheme="minorHAnsi"/>
          <w:bCs/>
        </w:rPr>
        <w:t xml:space="preserve">for the Spreadmark Code of Practice </w:t>
      </w:r>
      <w:r w:rsidR="003D7B49" w:rsidRPr="00547314">
        <w:rPr>
          <w:rFonts w:asciiTheme="minorHAnsi" w:hAnsiTheme="minorHAnsi" w:cstheme="minorHAnsi"/>
          <w:bCs/>
        </w:rPr>
        <w:t>are:</w:t>
      </w:r>
    </w:p>
    <w:p w14:paraId="47A02638" w14:textId="77777777" w:rsidR="007A22E3" w:rsidRPr="00547314" w:rsidRDefault="007A22E3" w:rsidP="00574180">
      <w:pPr>
        <w:pStyle w:val="ListParagraph"/>
        <w:spacing w:before="120" w:after="240"/>
        <w:ind w:left="1440" w:hanging="1440"/>
        <w:rPr>
          <w:rFonts w:asciiTheme="minorHAnsi" w:hAnsiTheme="minorHAnsi" w:cstheme="minorHAnsi"/>
          <w:bCs/>
        </w:rPr>
      </w:pPr>
      <w:r w:rsidRPr="00547314">
        <w:rPr>
          <w:rFonts w:asciiTheme="minorHAnsi" w:hAnsiTheme="minorHAnsi" w:cstheme="minorHAnsi"/>
          <w:bCs/>
        </w:rPr>
        <w:t xml:space="preserve">Booklet 2: </w:t>
      </w:r>
      <w:r w:rsidRPr="00547314">
        <w:rPr>
          <w:rFonts w:asciiTheme="minorHAnsi" w:hAnsiTheme="minorHAnsi" w:cstheme="minorHAnsi"/>
          <w:bCs/>
        </w:rPr>
        <w:tab/>
        <w:t>Technical Specification for the Testing and Certification of Groundspread Solid Fertiliser Units.</w:t>
      </w:r>
    </w:p>
    <w:p w14:paraId="65E70E81" w14:textId="77777777" w:rsidR="007A22E3" w:rsidRPr="00547314" w:rsidRDefault="007A22E3" w:rsidP="007A22E3">
      <w:pPr>
        <w:pStyle w:val="ListParagraph"/>
        <w:spacing w:before="120" w:after="240"/>
        <w:ind w:left="1440" w:hanging="1440"/>
        <w:rPr>
          <w:rFonts w:asciiTheme="minorHAnsi" w:hAnsiTheme="minorHAnsi" w:cstheme="minorHAnsi"/>
          <w:bCs/>
        </w:rPr>
      </w:pPr>
      <w:r w:rsidRPr="00547314">
        <w:rPr>
          <w:rFonts w:asciiTheme="minorHAnsi" w:hAnsiTheme="minorHAnsi" w:cstheme="minorHAnsi"/>
          <w:bCs/>
        </w:rPr>
        <w:t>Booklet 3:</w:t>
      </w:r>
      <w:r w:rsidRPr="00547314">
        <w:rPr>
          <w:rFonts w:asciiTheme="minorHAnsi" w:hAnsiTheme="minorHAnsi" w:cstheme="minorHAnsi"/>
          <w:bCs/>
        </w:rPr>
        <w:tab/>
        <w:t>Technical Specification for the Testing and Certification of Conventional Boom Sprayers Applying Liquid Nutrient.</w:t>
      </w:r>
    </w:p>
    <w:p w14:paraId="426E7652" w14:textId="14D944F2" w:rsidR="00292058" w:rsidRPr="00547314" w:rsidRDefault="007A22E3" w:rsidP="00E826C0">
      <w:pPr>
        <w:pStyle w:val="ListParagraph"/>
        <w:spacing w:before="120" w:after="240"/>
        <w:ind w:left="1440" w:hanging="1440"/>
        <w:rPr>
          <w:rFonts w:asciiTheme="minorHAnsi" w:hAnsiTheme="minorHAnsi" w:cstheme="minorHAnsi"/>
          <w:bCs/>
        </w:rPr>
      </w:pPr>
      <w:r w:rsidRPr="00547314">
        <w:rPr>
          <w:rFonts w:asciiTheme="minorHAnsi" w:hAnsiTheme="minorHAnsi" w:cstheme="minorHAnsi"/>
          <w:bCs/>
        </w:rPr>
        <w:t xml:space="preserve">Booklet 4: </w:t>
      </w:r>
      <w:r w:rsidRPr="00547314">
        <w:rPr>
          <w:rFonts w:asciiTheme="minorHAnsi" w:hAnsiTheme="minorHAnsi" w:cstheme="minorHAnsi"/>
          <w:bCs/>
        </w:rPr>
        <w:tab/>
        <w:t>Spread pattern Testing and Interpretation for Aerial Application.</w:t>
      </w:r>
    </w:p>
    <w:p w14:paraId="4E761E2B" w14:textId="5C261274" w:rsidR="006A21D7" w:rsidRPr="00AC7E19" w:rsidRDefault="006A21D7" w:rsidP="00195575">
      <w:pPr>
        <w:rPr>
          <w:b/>
          <w:sz w:val="24"/>
          <w:szCs w:val="24"/>
        </w:rPr>
      </w:pPr>
      <w:r w:rsidRPr="00AC7E19">
        <w:rPr>
          <w:b/>
          <w:sz w:val="24"/>
          <w:szCs w:val="24"/>
        </w:rPr>
        <w:t>INDEX</w:t>
      </w:r>
    </w:p>
    <w:p w14:paraId="50F5E164" w14:textId="687007B7" w:rsidR="006A21D7" w:rsidRPr="003A6A8E" w:rsidRDefault="00F63762" w:rsidP="00C04050">
      <w:pPr>
        <w:spacing w:after="0" w:line="240" w:lineRule="auto"/>
        <w:rPr>
          <w:bCs/>
        </w:rPr>
      </w:pPr>
      <w:hyperlink w:anchor="ApplicationForm" w:history="1">
        <w:r w:rsidR="00072AF3" w:rsidRPr="003A6A8E">
          <w:rPr>
            <w:rStyle w:val="Hyperlink"/>
          </w:rPr>
          <w:t xml:space="preserve">Procedure for Spreadmark </w:t>
        </w:r>
        <w:r w:rsidR="00266B1D" w:rsidRPr="003A6A8E">
          <w:rPr>
            <w:rStyle w:val="Hyperlink"/>
          </w:rPr>
          <w:t>Certification</w:t>
        </w:r>
      </w:hyperlink>
    </w:p>
    <w:p w14:paraId="514C0043" w14:textId="52A2D934" w:rsidR="00397183" w:rsidRPr="003A6A8E" w:rsidRDefault="00F63762" w:rsidP="004149AE">
      <w:pPr>
        <w:spacing w:after="0"/>
        <w:rPr>
          <w:bCs/>
        </w:rPr>
      </w:pPr>
      <w:hyperlink w:anchor="TestersProtocol" w:history="1">
        <w:r w:rsidR="00397183" w:rsidRPr="003A6A8E">
          <w:rPr>
            <w:rStyle w:val="Hyperlink"/>
            <w:bCs/>
          </w:rPr>
          <w:t>Spreadmark Testers Protocol</w:t>
        </w:r>
      </w:hyperlink>
    </w:p>
    <w:p w14:paraId="40E966BE" w14:textId="616C0166" w:rsidR="008B03FC" w:rsidRPr="003A6A8E" w:rsidRDefault="00F63762" w:rsidP="008B03FC">
      <w:pPr>
        <w:spacing w:after="0"/>
        <w:rPr>
          <w:bCs/>
        </w:rPr>
      </w:pPr>
      <w:hyperlink w:anchor="Training" w:history="1">
        <w:r w:rsidR="008B03FC" w:rsidRPr="003A6A8E">
          <w:rPr>
            <w:rStyle w:val="Hyperlink"/>
            <w:bCs/>
          </w:rPr>
          <w:t>Training for Nutrient Applicators</w:t>
        </w:r>
      </w:hyperlink>
    </w:p>
    <w:p w14:paraId="55175ADE" w14:textId="7635D298" w:rsidR="008B03FC" w:rsidRPr="003A6A8E" w:rsidRDefault="00F63762" w:rsidP="008B03FC">
      <w:pPr>
        <w:spacing w:after="0"/>
        <w:rPr>
          <w:bCs/>
        </w:rPr>
      </w:pPr>
      <w:hyperlink w:anchor="Auditing" w:history="1">
        <w:r w:rsidR="008B03FC" w:rsidRPr="003A6A8E">
          <w:rPr>
            <w:rStyle w:val="Hyperlink"/>
            <w:bCs/>
          </w:rPr>
          <w:t>Spreadmark Auditor Protocol</w:t>
        </w:r>
      </w:hyperlink>
    </w:p>
    <w:p w14:paraId="7C05DA4D" w14:textId="464CEC64" w:rsidR="008B03FC" w:rsidRPr="003A6A8E" w:rsidRDefault="00F63762" w:rsidP="008B03FC">
      <w:pPr>
        <w:spacing w:after="0"/>
        <w:rPr>
          <w:bCs/>
        </w:rPr>
      </w:pPr>
      <w:hyperlink w:anchor="Confidentiality" w:history="1">
        <w:r w:rsidR="008B03FC" w:rsidRPr="003A6A8E">
          <w:rPr>
            <w:rStyle w:val="Hyperlink"/>
            <w:bCs/>
          </w:rPr>
          <w:t>Spreadmark Confidentiality Protocol</w:t>
        </w:r>
      </w:hyperlink>
    </w:p>
    <w:p w14:paraId="0794AC25" w14:textId="4D02D78F" w:rsidR="008B03FC" w:rsidRPr="003A6A8E" w:rsidRDefault="00F63762" w:rsidP="008B03FC">
      <w:pPr>
        <w:spacing w:after="0"/>
        <w:rPr>
          <w:bCs/>
        </w:rPr>
      </w:pPr>
      <w:hyperlink w:anchor="Advertising" w:history="1">
        <w:r w:rsidR="008B03FC" w:rsidRPr="003A6A8E">
          <w:rPr>
            <w:rStyle w:val="Hyperlink"/>
            <w:bCs/>
          </w:rPr>
          <w:t>Spreadmark Code of Conduct for Advertising and Promotion</w:t>
        </w:r>
      </w:hyperlink>
    </w:p>
    <w:p w14:paraId="6D9CB7C5" w14:textId="587BE494" w:rsidR="008B03FC" w:rsidRPr="003A6A8E" w:rsidRDefault="00F63762" w:rsidP="008B03FC">
      <w:pPr>
        <w:spacing w:after="0"/>
        <w:rPr>
          <w:bCs/>
        </w:rPr>
      </w:pPr>
      <w:hyperlink w:anchor="Levy" w:history="1">
        <w:r w:rsidR="008B03FC" w:rsidRPr="003A6A8E">
          <w:rPr>
            <w:rStyle w:val="Hyperlink"/>
            <w:bCs/>
          </w:rPr>
          <w:t>Spreadmark Promotional &amp; Administrative Levy Policy</w:t>
        </w:r>
      </w:hyperlink>
    </w:p>
    <w:p w14:paraId="3042E07A" w14:textId="7399069C" w:rsidR="008B03FC" w:rsidRPr="003A6A8E" w:rsidRDefault="00F63762" w:rsidP="008B03FC">
      <w:pPr>
        <w:spacing w:after="0"/>
        <w:rPr>
          <w:bCs/>
        </w:rPr>
      </w:pPr>
      <w:hyperlink w:anchor="Mergers" w:history="1">
        <w:r w:rsidR="008B03FC" w:rsidRPr="003A6A8E">
          <w:rPr>
            <w:rStyle w:val="Hyperlink"/>
            <w:bCs/>
          </w:rPr>
          <w:t>Spreadmark Policy on Company Mergers</w:t>
        </w:r>
      </w:hyperlink>
    </w:p>
    <w:p w14:paraId="10AA6EFB" w14:textId="2E7C9A4C" w:rsidR="008B03FC" w:rsidRPr="003A6A8E" w:rsidRDefault="00F63762" w:rsidP="008B03FC">
      <w:pPr>
        <w:spacing w:after="0"/>
        <w:rPr>
          <w:bCs/>
        </w:rPr>
      </w:pPr>
      <w:hyperlink w:anchor="Complaints" w:history="1">
        <w:r w:rsidR="008B03FC" w:rsidRPr="003A6A8E">
          <w:rPr>
            <w:rStyle w:val="Hyperlink"/>
            <w:bCs/>
          </w:rPr>
          <w:t>Spreadmark Procedure for Complaints</w:t>
        </w:r>
      </w:hyperlink>
    </w:p>
    <w:p w14:paraId="757051AC" w14:textId="304534C0" w:rsidR="008B03FC" w:rsidRPr="006C6EA6" w:rsidRDefault="00F63762" w:rsidP="008B03FC">
      <w:pPr>
        <w:spacing w:after="0"/>
        <w:rPr>
          <w:bCs/>
        </w:rPr>
      </w:pPr>
      <w:hyperlink w:anchor="Discipline" w:history="1">
        <w:r w:rsidR="008B03FC" w:rsidRPr="003A6A8E">
          <w:rPr>
            <w:rStyle w:val="Hyperlink"/>
            <w:bCs/>
          </w:rPr>
          <w:t>Spreadmark Disciplinary and De</w:t>
        </w:r>
        <w:r w:rsidR="00A57050" w:rsidRPr="003A6A8E">
          <w:rPr>
            <w:rStyle w:val="Hyperlink"/>
            <w:bCs/>
          </w:rPr>
          <w:t>certification</w:t>
        </w:r>
        <w:r w:rsidR="008B03FC" w:rsidRPr="003A6A8E">
          <w:rPr>
            <w:rStyle w:val="Hyperlink"/>
            <w:bCs/>
          </w:rPr>
          <w:t xml:space="preserve"> Procedure</w:t>
        </w:r>
      </w:hyperlink>
    </w:p>
    <w:p w14:paraId="4131ECDF" w14:textId="0B64ECD2" w:rsidR="008B03FC" w:rsidRDefault="00F63762" w:rsidP="00C04050">
      <w:pPr>
        <w:spacing w:after="0"/>
        <w:rPr>
          <w:rStyle w:val="Hyperlink"/>
          <w:bCs/>
        </w:rPr>
      </w:pPr>
      <w:hyperlink w:anchor="Transitional" w:history="1">
        <w:r w:rsidR="008B03FC" w:rsidRPr="000F123F">
          <w:rPr>
            <w:rStyle w:val="Hyperlink"/>
            <w:bCs/>
          </w:rPr>
          <w:t>Transitional Arrangements</w:t>
        </w:r>
      </w:hyperlink>
    </w:p>
    <w:p w14:paraId="52C5EEC9" w14:textId="4ED68947" w:rsidR="004149AE" w:rsidRPr="004A24AD" w:rsidRDefault="004149AE" w:rsidP="00195575">
      <w:pPr>
        <w:rPr>
          <w:b/>
          <w:sz w:val="24"/>
          <w:szCs w:val="24"/>
        </w:rPr>
      </w:pPr>
    </w:p>
    <w:p w14:paraId="2B2FEBC9" w14:textId="69D1BADF" w:rsidR="00996D28" w:rsidRPr="00996D28" w:rsidRDefault="00611673" w:rsidP="003A021F">
      <w:pPr>
        <w:tabs>
          <w:tab w:val="left" w:pos="1134"/>
          <w:tab w:val="left" w:pos="2155"/>
          <w:tab w:val="left" w:pos="8222"/>
        </w:tabs>
        <w:spacing w:before="120" w:after="240"/>
        <w:jc w:val="both"/>
        <w:rPr>
          <w:rFonts w:asciiTheme="minorHAnsi" w:hAnsiTheme="minorHAnsi" w:cstheme="minorHAnsi"/>
        </w:rPr>
      </w:pPr>
      <w:bookmarkStart w:id="0" w:name="ApplicationForm"/>
      <w:bookmarkEnd w:id="0"/>
      <w:r>
        <w:rPr>
          <w:rFonts w:eastAsia="Arial"/>
          <w:b/>
          <w:bCs/>
          <w:caps/>
        </w:rPr>
        <w:t xml:space="preserve">Procedure for </w:t>
      </w:r>
      <w:r w:rsidR="00185E0B">
        <w:rPr>
          <w:rFonts w:eastAsia="Arial"/>
          <w:b/>
          <w:bCs/>
          <w:caps/>
        </w:rPr>
        <w:t xml:space="preserve">SPREADMARK </w:t>
      </w:r>
      <w:r w:rsidR="00266B1D">
        <w:rPr>
          <w:rFonts w:eastAsia="Arial"/>
          <w:b/>
          <w:bCs/>
          <w:caps/>
        </w:rPr>
        <w:t>certification</w:t>
      </w:r>
    </w:p>
    <w:p w14:paraId="78E94264" w14:textId="10C5F815" w:rsidR="00996D28" w:rsidRPr="00996D28" w:rsidRDefault="00996D28" w:rsidP="003A021F">
      <w:pPr>
        <w:spacing w:before="120" w:after="240"/>
        <w:ind w:left="851" w:hanging="851"/>
        <w:jc w:val="both"/>
        <w:rPr>
          <w:rFonts w:asciiTheme="minorHAnsi" w:hAnsiTheme="minorHAnsi" w:cstheme="minorHAnsi"/>
        </w:rPr>
      </w:pPr>
      <w:r w:rsidRPr="00996D28">
        <w:rPr>
          <w:rFonts w:asciiTheme="minorHAnsi" w:hAnsiTheme="minorHAnsi" w:cstheme="minorHAnsi"/>
        </w:rPr>
        <w:t>1.</w:t>
      </w:r>
      <w:r w:rsidRPr="00996D28">
        <w:rPr>
          <w:rFonts w:asciiTheme="minorHAnsi" w:hAnsiTheme="minorHAnsi" w:cstheme="minorHAnsi"/>
        </w:rPr>
        <w:tab/>
        <w:t xml:space="preserve">Enquiries regarding Spreadmark </w:t>
      </w:r>
      <w:r w:rsidR="002A592F">
        <w:rPr>
          <w:rFonts w:asciiTheme="minorHAnsi" w:hAnsiTheme="minorHAnsi" w:cstheme="minorHAnsi"/>
        </w:rPr>
        <w:t>certification</w:t>
      </w:r>
      <w:r w:rsidR="002A592F" w:rsidRPr="00996D28">
        <w:rPr>
          <w:rFonts w:asciiTheme="minorHAnsi" w:hAnsiTheme="minorHAnsi" w:cstheme="minorHAnsi"/>
        </w:rPr>
        <w:t xml:space="preserve"> </w:t>
      </w:r>
      <w:r w:rsidRPr="00996D28">
        <w:rPr>
          <w:rFonts w:asciiTheme="minorHAnsi" w:hAnsiTheme="minorHAnsi" w:cstheme="minorHAnsi"/>
        </w:rPr>
        <w:t xml:space="preserve">of groundspread companies </w:t>
      </w:r>
      <w:r w:rsidR="0031720E">
        <w:rPr>
          <w:rFonts w:asciiTheme="minorHAnsi" w:hAnsiTheme="minorHAnsi" w:cstheme="minorHAnsi"/>
        </w:rPr>
        <w:t>shall be sent</w:t>
      </w:r>
      <w:r w:rsidRPr="00996D28">
        <w:rPr>
          <w:rFonts w:asciiTheme="minorHAnsi" w:hAnsiTheme="minorHAnsi" w:cstheme="minorHAnsi"/>
        </w:rPr>
        <w:t xml:space="preserve"> to the Executive Director of the Fertiliser Quality Council </w:t>
      </w:r>
      <w:r w:rsidR="00667AEB">
        <w:rPr>
          <w:rFonts w:asciiTheme="minorHAnsi" w:hAnsiTheme="minorHAnsi" w:cstheme="minorHAnsi"/>
        </w:rPr>
        <w:t>u</w:t>
      </w:r>
      <w:r w:rsidR="002646AB">
        <w:rPr>
          <w:rFonts w:asciiTheme="minorHAnsi" w:hAnsiTheme="minorHAnsi" w:cstheme="minorHAnsi"/>
        </w:rPr>
        <w:t xml:space="preserve">sing the </w:t>
      </w:r>
      <w:r w:rsidR="00667AEB">
        <w:rPr>
          <w:rFonts w:asciiTheme="minorHAnsi" w:hAnsiTheme="minorHAnsi" w:cstheme="minorHAnsi"/>
        </w:rPr>
        <w:t>application form found here</w:t>
      </w:r>
      <w:r w:rsidR="00406F59">
        <w:rPr>
          <w:rFonts w:asciiTheme="minorHAnsi" w:hAnsiTheme="minorHAnsi" w:cstheme="minorHAnsi"/>
        </w:rPr>
        <w:t xml:space="preserve"> </w:t>
      </w:r>
      <w:hyperlink r:id="rId10" w:history="1">
        <w:r w:rsidR="006604FA" w:rsidRPr="00D1597D">
          <w:rPr>
            <w:rStyle w:val="Hyperlink"/>
            <w:rFonts w:asciiTheme="minorHAnsi" w:hAnsiTheme="minorHAnsi" w:cstheme="minorHAnsi"/>
          </w:rPr>
          <w:t>https://fertqual.co.nz/resources/</w:t>
        </w:r>
      </w:hyperlink>
      <w:r w:rsidR="006604FA">
        <w:rPr>
          <w:rFonts w:asciiTheme="minorHAnsi" w:hAnsiTheme="minorHAnsi" w:cstheme="minorHAnsi"/>
        </w:rPr>
        <w:t xml:space="preserve"> </w:t>
      </w:r>
    </w:p>
    <w:p w14:paraId="27A4FCC0" w14:textId="24CFD326" w:rsidR="00996D28" w:rsidRPr="00996D28" w:rsidRDefault="00996D28" w:rsidP="003A021F">
      <w:pPr>
        <w:spacing w:before="120" w:after="240"/>
        <w:ind w:left="851" w:hanging="851"/>
        <w:jc w:val="both"/>
        <w:rPr>
          <w:rFonts w:asciiTheme="minorHAnsi" w:hAnsiTheme="minorHAnsi" w:cstheme="minorHAnsi"/>
        </w:rPr>
      </w:pPr>
      <w:r w:rsidRPr="00996D28">
        <w:rPr>
          <w:rFonts w:asciiTheme="minorHAnsi" w:hAnsiTheme="minorHAnsi" w:cstheme="minorHAnsi"/>
        </w:rPr>
        <w:t>2.</w:t>
      </w:r>
      <w:r w:rsidRPr="00996D28">
        <w:rPr>
          <w:rFonts w:asciiTheme="minorHAnsi" w:hAnsiTheme="minorHAnsi" w:cstheme="minorHAnsi"/>
        </w:rPr>
        <w:tab/>
        <w:t xml:space="preserve">Applications for </w:t>
      </w:r>
      <w:r w:rsidR="007C517E">
        <w:rPr>
          <w:rFonts w:asciiTheme="minorHAnsi" w:hAnsiTheme="minorHAnsi" w:cstheme="minorHAnsi"/>
        </w:rPr>
        <w:t>certification</w:t>
      </w:r>
      <w:r w:rsidR="007C517E" w:rsidRPr="00996D28">
        <w:rPr>
          <w:rFonts w:asciiTheme="minorHAnsi" w:hAnsiTheme="minorHAnsi" w:cstheme="minorHAnsi"/>
        </w:rPr>
        <w:t xml:space="preserve"> </w:t>
      </w:r>
      <w:r w:rsidRPr="00996D28">
        <w:rPr>
          <w:rFonts w:asciiTheme="minorHAnsi" w:hAnsiTheme="minorHAnsi" w:cstheme="minorHAnsi"/>
        </w:rPr>
        <w:t>must be accompanied by the application fee. The application fee is not refundable in the event that the application does not proceed or is unsuccessful.</w:t>
      </w:r>
    </w:p>
    <w:p w14:paraId="7F81267E" w14:textId="77777777" w:rsidR="00996D28" w:rsidRPr="00996D28" w:rsidRDefault="00996D28" w:rsidP="003A021F">
      <w:pPr>
        <w:spacing w:before="120" w:after="240"/>
        <w:ind w:left="851" w:hanging="851"/>
        <w:jc w:val="both"/>
        <w:rPr>
          <w:rFonts w:asciiTheme="minorHAnsi" w:hAnsiTheme="minorHAnsi" w:cstheme="minorHAnsi"/>
        </w:rPr>
      </w:pPr>
      <w:r w:rsidRPr="00996D28">
        <w:rPr>
          <w:rFonts w:asciiTheme="minorHAnsi" w:hAnsiTheme="minorHAnsi" w:cstheme="minorHAnsi"/>
        </w:rPr>
        <w:t>3.</w:t>
      </w:r>
      <w:r w:rsidRPr="00996D28">
        <w:rPr>
          <w:rFonts w:asciiTheme="minorHAnsi" w:hAnsiTheme="minorHAnsi" w:cstheme="minorHAnsi"/>
        </w:rPr>
        <w:tab/>
        <w:t>Upon receipt of the application form the Executive Director shall verify that the application is complete and that the appropriate fee is attached.  The applicant company is then deemed to be a Spreadmark applicant company.</w:t>
      </w:r>
    </w:p>
    <w:p w14:paraId="18AE9A53" w14:textId="51F4227B" w:rsidR="00996D28" w:rsidRPr="00996D28" w:rsidRDefault="00996D28" w:rsidP="003A021F">
      <w:pPr>
        <w:spacing w:before="120" w:after="240"/>
        <w:ind w:left="851" w:hanging="851"/>
        <w:jc w:val="both"/>
        <w:rPr>
          <w:rFonts w:asciiTheme="minorHAnsi" w:hAnsiTheme="minorHAnsi" w:cstheme="minorHAnsi"/>
        </w:rPr>
      </w:pPr>
      <w:r w:rsidRPr="00996D28">
        <w:rPr>
          <w:rFonts w:asciiTheme="minorHAnsi" w:hAnsiTheme="minorHAnsi" w:cstheme="minorHAnsi"/>
        </w:rPr>
        <w:lastRenderedPageBreak/>
        <w:t>4.</w:t>
      </w:r>
      <w:r w:rsidRPr="00996D28">
        <w:rPr>
          <w:rFonts w:asciiTheme="minorHAnsi" w:hAnsiTheme="minorHAnsi" w:cstheme="minorHAnsi"/>
        </w:rPr>
        <w:tab/>
        <w:t>The Executive Director then forwards the application to the Spreadmark Auditor who will undertake a pre-</w:t>
      </w:r>
      <w:r w:rsidR="00406F59">
        <w:rPr>
          <w:rFonts w:asciiTheme="minorHAnsi" w:hAnsiTheme="minorHAnsi" w:cstheme="minorHAnsi"/>
        </w:rPr>
        <w:t>certification</w:t>
      </w:r>
      <w:r w:rsidR="00406F59" w:rsidRPr="00996D28">
        <w:rPr>
          <w:rFonts w:asciiTheme="minorHAnsi" w:hAnsiTheme="minorHAnsi" w:cstheme="minorHAnsi"/>
        </w:rPr>
        <w:t xml:space="preserve"> </w:t>
      </w:r>
      <w:r w:rsidRPr="00996D28">
        <w:rPr>
          <w:rFonts w:asciiTheme="minorHAnsi" w:hAnsiTheme="minorHAnsi" w:cstheme="minorHAnsi"/>
        </w:rPr>
        <w:t xml:space="preserve">audit against the Spreadmark System Standard.  </w:t>
      </w:r>
    </w:p>
    <w:p w14:paraId="7D632104" w14:textId="0694CEC5" w:rsidR="00996D28" w:rsidRPr="00996D28" w:rsidRDefault="00996D28" w:rsidP="003A021F">
      <w:pPr>
        <w:spacing w:before="120" w:after="240"/>
        <w:ind w:left="851" w:hanging="851"/>
        <w:jc w:val="both"/>
        <w:rPr>
          <w:rFonts w:asciiTheme="minorHAnsi" w:hAnsiTheme="minorHAnsi" w:cstheme="minorHAnsi"/>
        </w:rPr>
      </w:pPr>
      <w:r w:rsidRPr="00996D28">
        <w:rPr>
          <w:rFonts w:asciiTheme="minorHAnsi" w:hAnsiTheme="minorHAnsi" w:cstheme="minorHAnsi"/>
        </w:rPr>
        <w:t>5.</w:t>
      </w:r>
      <w:r w:rsidRPr="00996D28">
        <w:rPr>
          <w:rFonts w:asciiTheme="minorHAnsi" w:hAnsiTheme="minorHAnsi" w:cstheme="minorHAnsi"/>
        </w:rPr>
        <w:tab/>
        <w:t xml:space="preserve">If the Auditor finds that the requirements are met the company shall be issued with a signed Spreadmark Company </w:t>
      </w:r>
      <w:r w:rsidR="00290DC3" w:rsidRPr="00F04D61">
        <w:rPr>
          <w:rFonts w:asciiTheme="minorHAnsi" w:hAnsiTheme="minorHAnsi" w:cstheme="minorHAnsi"/>
        </w:rPr>
        <w:t>Certification</w:t>
      </w:r>
      <w:r w:rsidRPr="00996D28">
        <w:rPr>
          <w:rFonts w:asciiTheme="minorHAnsi" w:hAnsiTheme="minorHAnsi" w:cstheme="minorHAnsi"/>
        </w:rPr>
        <w:t xml:space="preserve"> Certificate, with the expiry date noted, and will cause the register of Spreadmark </w:t>
      </w:r>
      <w:r w:rsidR="00290DC3">
        <w:rPr>
          <w:rFonts w:asciiTheme="minorHAnsi" w:hAnsiTheme="minorHAnsi" w:cstheme="minorHAnsi"/>
        </w:rPr>
        <w:t>Certified</w:t>
      </w:r>
      <w:r w:rsidRPr="00996D28">
        <w:rPr>
          <w:rFonts w:asciiTheme="minorHAnsi" w:hAnsiTheme="minorHAnsi" w:cstheme="minorHAnsi"/>
        </w:rPr>
        <w:t xml:space="preserve"> Companies to be amended. </w:t>
      </w:r>
    </w:p>
    <w:p w14:paraId="5EF67F80" w14:textId="77777777" w:rsidR="00996D28" w:rsidRPr="00996D28" w:rsidRDefault="00996D28" w:rsidP="003A021F">
      <w:pPr>
        <w:spacing w:before="120" w:after="240"/>
        <w:ind w:left="851"/>
        <w:jc w:val="both"/>
        <w:rPr>
          <w:rFonts w:asciiTheme="minorHAnsi" w:hAnsiTheme="minorHAnsi" w:cstheme="minorHAnsi"/>
        </w:rPr>
      </w:pPr>
      <w:r w:rsidRPr="00996D28">
        <w:rPr>
          <w:rFonts w:asciiTheme="minorHAnsi" w:hAnsiTheme="minorHAnsi" w:cstheme="minorHAnsi"/>
        </w:rPr>
        <w:t xml:space="preserve">If the Auditor does not consider the requirements of the Spreadmark Code to be met then the applicant company will be advised in writing of improvements that need to be made. </w:t>
      </w:r>
    </w:p>
    <w:p w14:paraId="070ACE4F" w14:textId="2D2F0DFE" w:rsidR="00996D28" w:rsidRDefault="00996D28" w:rsidP="004130B0">
      <w:pPr>
        <w:spacing w:before="120" w:after="240"/>
        <w:ind w:left="851" w:hanging="851"/>
        <w:jc w:val="both"/>
        <w:rPr>
          <w:rFonts w:asciiTheme="minorHAnsi" w:hAnsiTheme="minorHAnsi" w:cstheme="minorHAnsi"/>
        </w:rPr>
      </w:pPr>
      <w:r w:rsidRPr="00996D28">
        <w:rPr>
          <w:rFonts w:asciiTheme="minorHAnsi" w:hAnsiTheme="minorHAnsi" w:cstheme="minorHAnsi"/>
        </w:rPr>
        <w:t>6.</w:t>
      </w:r>
      <w:r w:rsidRPr="00996D28">
        <w:rPr>
          <w:rFonts w:asciiTheme="minorHAnsi" w:hAnsiTheme="minorHAnsi" w:cstheme="minorHAnsi"/>
        </w:rPr>
        <w:tab/>
        <w:t xml:space="preserve">The period of </w:t>
      </w:r>
      <w:r w:rsidR="00303669">
        <w:rPr>
          <w:rFonts w:asciiTheme="minorHAnsi" w:hAnsiTheme="minorHAnsi" w:cstheme="minorHAnsi"/>
        </w:rPr>
        <w:t>certification</w:t>
      </w:r>
      <w:r w:rsidR="00303669" w:rsidRPr="00996D28">
        <w:rPr>
          <w:rFonts w:asciiTheme="minorHAnsi" w:hAnsiTheme="minorHAnsi" w:cstheme="minorHAnsi"/>
        </w:rPr>
        <w:t xml:space="preserve"> </w:t>
      </w:r>
      <w:r w:rsidRPr="00996D28">
        <w:rPr>
          <w:rFonts w:asciiTheme="minorHAnsi" w:hAnsiTheme="minorHAnsi" w:cstheme="minorHAnsi"/>
        </w:rPr>
        <w:t xml:space="preserve">will normally be for a period of two </w:t>
      </w:r>
      <w:r w:rsidR="00036E8A" w:rsidRPr="00996D28">
        <w:rPr>
          <w:rFonts w:asciiTheme="minorHAnsi" w:hAnsiTheme="minorHAnsi" w:cstheme="minorHAnsi"/>
        </w:rPr>
        <w:t>years,</w:t>
      </w:r>
      <w:r w:rsidRPr="00996D28">
        <w:rPr>
          <w:rFonts w:asciiTheme="minorHAnsi" w:hAnsiTheme="minorHAnsi" w:cstheme="minorHAnsi"/>
        </w:rPr>
        <w:t xml:space="preserve"> but </w:t>
      </w:r>
      <w:r w:rsidR="00F04D61">
        <w:rPr>
          <w:rFonts w:asciiTheme="minorHAnsi" w:hAnsiTheme="minorHAnsi" w:cstheme="minorHAnsi"/>
        </w:rPr>
        <w:t xml:space="preserve">a </w:t>
      </w:r>
      <w:r w:rsidRPr="00996D28">
        <w:rPr>
          <w:rFonts w:asciiTheme="minorHAnsi" w:hAnsiTheme="minorHAnsi" w:cstheme="minorHAnsi"/>
        </w:rPr>
        <w:t xml:space="preserve">shorter period may be applied.  This will occur if companies have systems that are not fully in conformance.  The term would depend on the severity of the non-conformances.  In this circumstance the Auditor may also recommend conditional </w:t>
      </w:r>
      <w:r w:rsidR="00C35A8E">
        <w:rPr>
          <w:rFonts w:asciiTheme="minorHAnsi" w:hAnsiTheme="minorHAnsi" w:cstheme="minorHAnsi"/>
        </w:rPr>
        <w:t>certification</w:t>
      </w:r>
      <w:r w:rsidRPr="00996D28">
        <w:rPr>
          <w:rFonts w:asciiTheme="minorHAnsi" w:hAnsiTheme="minorHAnsi" w:cstheme="minorHAnsi"/>
        </w:rPr>
        <w:t xml:space="preserve">.  Companies may elect to have </w:t>
      </w:r>
      <w:hyperlink w:anchor="Frequency" w:history="1">
        <w:r w:rsidRPr="0065520C">
          <w:rPr>
            <w:rStyle w:val="Hyperlink"/>
            <w:rFonts w:asciiTheme="minorHAnsi" w:hAnsiTheme="minorHAnsi" w:cstheme="minorHAnsi"/>
          </w:rPr>
          <w:t>additional special audits</w:t>
        </w:r>
      </w:hyperlink>
      <w:r w:rsidRPr="00996D28">
        <w:rPr>
          <w:rFonts w:asciiTheme="minorHAnsi" w:hAnsiTheme="minorHAnsi" w:cstheme="minorHAnsi"/>
        </w:rPr>
        <w:t xml:space="preserve"> at their own cost. </w:t>
      </w:r>
    </w:p>
    <w:p w14:paraId="35B37B85" w14:textId="0C9B50E0" w:rsidR="00E625E3" w:rsidRPr="00EE473E" w:rsidRDefault="00E625E3" w:rsidP="00860F65">
      <w:pPr>
        <w:tabs>
          <w:tab w:val="left" w:pos="1134"/>
          <w:tab w:val="left" w:pos="2155"/>
          <w:tab w:val="left" w:pos="8222"/>
        </w:tabs>
        <w:spacing w:before="120" w:after="240"/>
        <w:jc w:val="both"/>
        <w:rPr>
          <w:rFonts w:eastAsia="Arial"/>
          <w:b/>
          <w:bCs/>
          <w:caps/>
        </w:rPr>
      </w:pPr>
      <w:bookmarkStart w:id="1" w:name="TestersProtocol"/>
      <w:bookmarkEnd w:id="1"/>
      <w:r w:rsidRPr="00EE473E">
        <w:rPr>
          <w:rFonts w:eastAsia="Arial"/>
          <w:b/>
          <w:bCs/>
          <w:caps/>
        </w:rPr>
        <w:t xml:space="preserve">Spreading </w:t>
      </w:r>
      <w:r w:rsidR="00183021">
        <w:rPr>
          <w:rFonts w:eastAsia="Arial"/>
          <w:b/>
          <w:bCs/>
          <w:caps/>
        </w:rPr>
        <w:t>UNIT</w:t>
      </w:r>
      <w:r w:rsidRPr="00EE473E">
        <w:rPr>
          <w:rFonts w:eastAsia="Arial"/>
          <w:b/>
          <w:bCs/>
          <w:caps/>
        </w:rPr>
        <w:t xml:space="preserve"> Testers Protocol  </w:t>
      </w:r>
    </w:p>
    <w:p w14:paraId="40371FF5" w14:textId="77777777" w:rsidR="00CC4312" w:rsidRPr="00CC4312" w:rsidRDefault="00CC4312" w:rsidP="00CC4312">
      <w:pPr>
        <w:spacing w:after="160" w:line="259" w:lineRule="auto"/>
        <w:jc w:val="both"/>
        <w:rPr>
          <w:rFonts w:asciiTheme="minorHAnsi" w:eastAsiaTheme="minorHAnsi" w:hAnsiTheme="minorHAnsi" w:cstheme="minorHAnsi"/>
          <w:b/>
          <w:bCs/>
          <w:kern w:val="2"/>
          <w:lang w:val="en-US" w:eastAsia="en-US"/>
          <w14:ligatures w14:val="standardContextual"/>
        </w:rPr>
      </w:pPr>
      <w:bookmarkStart w:id="2" w:name="_ktiqrm2xm9u4" w:colFirst="0" w:colLast="0"/>
      <w:bookmarkStart w:id="3" w:name="_gy2gco4yz5fs" w:colFirst="0" w:colLast="0"/>
      <w:bookmarkEnd w:id="2"/>
      <w:bookmarkEnd w:id="3"/>
      <w:r w:rsidRPr="00CC4312">
        <w:rPr>
          <w:rFonts w:asciiTheme="minorHAnsi" w:eastAsiaTheme="minorHAnsi" w:hAnsiTheme="minorHAnsi" w:cstheme="minorHAnsi"/>
          <w:b/>
          <w:bCs/>
          <w:kern w:val="2"/>
          <w:lang w:val="en-US" w:eastAsia="en-US"/>
          <w14:ligatures w14:val="standardContextual"/>
        </w:rPr>
        <w:t>Scope</w:t>
      </w:r>
    </w:p>
    <w:p w14:paraId="1DD1C216" w14:textId="49F6CA5F" w:rsidR="00CC4312" w:rsidRPr="00CC4312" w:rsidRDefault="00CC4312" w:rsidP="00CC4312">
      <w:pPr>
        <w:spacing w:after="160" w:line="259" w:lineRule="auto"/>
        <w:jc w:val="both"/>
        <w:rPr>
          <w:rFonts w:asciiTheme="minorHAnsi" w:eastAsiaTheme="minorHAnsi" w:hAnsiTheme="minorHAnsi" w:cstheme="minorHAnsi"/>
          <w:i/>
          <w:iCs/>
          <w:color w:val="538135" w:themeColor="accent6" w:themeShade="BF"/>
          <w:kern w:val="2"/>
          <w:lang w:eastAsia="en-US"/>
          <w14:ligatures w14:val="standardContextual"/>
        </w:rPr>
      </w:pPr>
      <w:r w:rsidRPr="00CC4312">
        <w:rPr>
          <w:rFonts w:asciiTheme="minorHAnsi" w:eastAsiaTheme="minorHAnsi" w:hAnsiTheme="minorHAnsi" w:cstheme="minorHAnsi"/>
          <w:kern w:val="2"/>
          <w:lang w:eastAsia="en-US"/>
          <w14:ligatures w14:val="standardContextual"/>
        </w:rPr>
        <w:t xml:space="preserve">This protocol sets out the role and responsibilities of Spreadmark Approved Spreading </w:t>
      </w:r>
      <w:r w:rsidR="001A32CA">
        <w:rPr>
          <w:rFonts w:asciiTheme="minorHAnsi" w:eastAsiaTheme="minorHAnsi" w:hAnsiTheme="minorHAnsi" w:cstheme="minorHAnsi"/>
          <w:kern w:val="2"/>
          <w:lang w:eastAsia="en-US"/>
          <w14:ligatures w14:val="standardContextual"/>
        </w:rPr>
        <w:t>Uni</w:t>
      </w:r>
      <w:r w:rsidRPr="00CC4312">
        <w:rPr>
          <w:rFonts w:asciiTheme="minorHAnsi" w:eastAsiaTheme="minorHAnsi" w:hAnsiTheme="minorHAnsi" w:cstheme="minorHAnsi"/>
          <w:kern w:val="2"/>
          <w:lang w:eastAsia="en-US"/>
          <w14:ligatures w14:val="standardContextual"/>
        </w:rPr>
        <w:t>t Testers</w:t>
      </w:r>
      <w:r w:rsidR="00284C65">
        <w:rPr>
          <w:rFonts w:asciiTheme="minorHAnsi" w:eastAsiaTheme="minorHAnsi" w:hAnsiTheme="minorHAnsi" w:cstheme="minorHAnsi"/>
          <w:kern w:val="2"/>
          <w:lang w:eastAsia="en-US"/>
          <w14:ligatures w14:val="standardContextual"/>
        </w:rPr>
        <w:t xml:space="preserve"> </w:t>
      </w:r>
      <w:r w:rsidR="00E075EE">
        <w:rPr>
          <w:rFonts w:asciiTheme="minorHAnsi" w:eastAsiaTheme="minorHAnsi" w:hAnsiTheme="minorHAnsi" w:cstheme="minorHAnsi"/>
          <w:kern w:val="2"/>
          <w:lang w:eastAsia="en-US"/>
          <w14:ligatures w14:val="standardContextual"/>
        </w:rPr>
        <w:t xml:space="preserve">for </w:t>
      </w:r>
      <w:r w:rsidR="00850C89">
        <w:rPr>
          <w:rFonts w:asciiTheme="minorHAnsi" w:eastAsiaTheme="minorHAnsi" w:hAnsiTheme="minorHAnsi" w:cstheme="minorHAnsi"/>
          <w:kern w:val="2"/>
          <w:lang w:eastAsia="en-US"/>
          <w14:ligatures w14:val="standardContextual"/>
        </w:rPr>
        <w:t>the pattern testing of</w:t>
      </w:r>
      <w:r w:rsidR="00804546">
        <w:rPr>
          <w:rStyle w:val="CommentReference"/>
        </w:rPr>
        <w:t xml:space="preserve"> </w:t>
      </w:r>
      <w:r w:rsidR="00804546">
        <w:rPr>
          <w:rFonts w:asciiTheme="minorHAnsi" w:eastAsiaTheme="minorHAnsi" w:hAnsiTheme="minorHAnsi" w:cstheme="minorHAnsi"/>
          <w:kern w:val="2"/>
          <w:lang w:eastAsia="en-US"/>
          <w14:ligatures w14:val="standardContextual"/>
        </w:rPr>
        <w:t>sp</w:t>
      </w:r>
      <w:r w:rsidR="00850C89">
        <w:rPr>
          <w:rFonts w:asciiTheme="minorHAnsi" w:eastAsiaTheme="minorHAnsi" w:hAnsiTheme="minorHAnsi" w:cstheme="minorHAnsi"/>
          <w:kern w:val="2"/>
          <w:lang w:eastAsia="en-US"/>
          <w14:ligatures w14:val="standardContextual"/>
        </w:rPr>
        <w:t xml:space="preserve">reading </w:t>
      </w:r>
      <w:r w:rsidR="00A06B7A">
        <w:rPr>
          <w:rFonts w:asciiTheme="minorHAnsi" w:eastAsiaTheme="minorHAnsi" w:hAnsiTheme="minorHAnsi" w:cstheme="minorHAnsi"/>
          <w:kern w:val="2"/>
          <w:lang w:eastAsia="en-US"/>
          <w14:ligatures w14:val="standardContextual"/>
        </w:rPr>
        <w:t>units</w:t>
      </w:r>
      <w:r w:rsidR="00804546">
        <w:rPr>
          <w:rFonts w:asciiTheme="minorHAnsi" w:eastAsiaTheme="minorHAnsi" w:hAnsiTheme="minorHAnsi" w:cstheme="minorHAnsi"/>
          <w:kern w:val="2"/>
          <w:lang w:eastAsia="en-US"/>
          <w14:ligatures w14:val="standardContextual"/>
        </w:rPr>
        <w:t>.</w:t>
      </w:r>
    </w:p>
    <w:p w14:paraId="130F95CB" w14:textId="77777777" w:rsidR="00CC4312" w:rsidRPr="00CC4312" w:rsidRDefault="00CC4312" w:rsidP="00CC4312">
      <w:pPr>
        <w:spacing w:after="160" w:line="259" w:lineRule="auto"/>
        <w:jc w:val="both"/>
        <w:rPr>
          <w:rFonts w:asciiTheme="minorHAnsi" w:eastAsiaTheme="minorHAnsi" w:hAnsiTheme="minorHAnsi" w:cstheme="minorHAnsi"/>
          <w:b/>
          <w:bCs/>
          <w:kern w:val="2"/>
          <w:lang w:val="en-US" w:eastAsia="en-US"/>
          <w14:ligatures w14:val="standardContextual"/>
        </w:rPr>
      </w:pPr>
      <w:r w:rsidRPr="00CC4312">
        <w:rPr>
          <w:rFonts w:asciiTheme="minorHAnsi" w:eastAsiaTheme="minorHAnsi" w:hAnsiTheme="minorHAnsi" w:cstheme="minorHAnsi"/>
          <w:b/>
          <w:bCs/>
          <w:kern w:val="2"/>
          <w:lang w:val="en-US" w:eastAsia="en-US"/>
          <w14:ligatures w14:val="standardContextual"/>
        </w:rPr>
        <w:t>Approval Policies</w:t>
      </w:r>
    </w:p>
    <w:p w14:paraId="2F2C0B66" w14:textId="61EC9C29" w:rsidR="001A32CA" w:rsidRDefault="00E11499" w:rsidP="00680AF5">
      <w:pPr>
        <w:numPr>
          <w:ilvl w:val="0"/>
          <w:numId w:val="31"/>
        </w:numPr>
        <w:spacing w:after="160" w:line="259" w:lineRule="auto"/>
        <w:ind w:left="360"/>
        <w:contextualSpacing/>
        <w:jc w:val="both"/>
        <w:rPr>
          <w:rFonts w:asciiTheme="minorHAnsi" w:eastAsiaTheme="minorHAnsi" w:hAnsiTheme="minorHAnsi" w:cstheme="minorHAnsi"/>
          <w:kern w:val="2"/>
          <w:lang w:val="en-US" w:eastAsia="en-US"/>
          <w14:ligatures w14:val="standardContextual"/>
        </w:rPr>
      </w:pPr>
      <w:r>
        <w:rPr>
          <w:rFonts w:asciiTheme="minorHAnsi" w:eastAsiaTheme="minorHAnsi" w:hAnsiTheme="minorHAnsi" w:cstheme="minorHAnsi"/>
          <w:kern w:val="2"/>
          <w:lang w:val="en-US" w:eastAsia="en-US"/>
          <w14:ligatures w14:val="standardContextual"/>
        </w:rPr>
        <w:t>T</w:t>
      </w:r>
      <w:r w:rsidR="00210329">
        <w:rPr>
          <w:rFonts w:asciiTheme="minorHAnsi" w:eastAsiaTheme="minorHAnsi" w:hAnsiTheme="minorHAnsi" w:cstheme="minorHAnsi"/>
          <w:kern w:val="2"/>
          <w:lang w:val="en-US" w:eastAsia="en-US"/>
          <w14:ligatures w14:val="standardContextual"/>
        </w:rPr>
        <w:t xml:space="preserve">he authority to approve </w:t>
      </w:r>
      <w:r w:rsidR="00CC4312" w:rsidRPr="00CC4312">
        <w:rPr>
          <w:rFonts w:asciiTheme="minorHAnsi" w:eastAsiaTheme="minorHAnsi" w:hAnsiTheme="minorHAnsi" w:cstheme="minorHAnsi"/>
          <w:kern w:val="2"/>
          <w:lang w:val="en-US" w:eastAsia="en-US"/>
          <w14:ligatures w14:val="standardContextual"/>
        </w:rPr>
        <w:t xml:space="preserve">Spreadmark Approved Spreading </w:t>
      </w:r>
      <w:r w:rsidR="00130C5C">
        <w:rPr>
          <w:rFonts w:asciiTheme="minorHAnsi" w:eastAsiaTheme="minorHAnsi" w:hAnsiTheme="minorHAnsi" w:cstheme="minorHAnsi"/>
          <w:kern w:val="2"/>
          <w:lang w:val="en-US" w:eastAsia="en-US"/>
          <w14:ligatures w14:val="standardContextual"/>
        </w:rPr>
        <w:t>Unit</w:t>
      </w:r>
      <w:r w:rsidR="00CC4312" w:rsidRPr="00CC4312">
        <w:rPr>
          <w:rFonts w:asciiTheme="minorHAnsi" w:eastAsiaTheme="minorHAnsi" w:hAnsiTheme="minorHAnsi" w:cstheme="minorHAnsi"/>
          <w:kern w:val="2"/>
          <w:lang w:val="en-US" w:eastAsia="en-US"/>
          <w14:ligatures w14:val="standardContextual"/>
        </w:rPr>
        <w:t xml:space="preserve"> Testers </w:t>
      </w:r>
      <w:r w:rsidR="00B04E8E">
        <w:rPr>
          <w:rFonts w:asciiTheme="minorHAnsi" w:eastAsiaTheme="minorHAnsi" w:hAnsiTheme="minorHAnsi" w:cstheme="minorHAnsi"/>
          <w:kern w:val="2"/>
          <w:lang w:val="en-US" w:eastAsia="en-US"/>
          <w14:ligatures w14:val="standardContextual"/>
        </w:rPr>
        <w:t>is held</w:t>
      </w:r>
      <w:r w:rsidR="00CC4312" w:rsidRPr="00CC4312">
        <w:rPr>
          <w:rFonts w:asciiTheme="minorHAnsi" w:eastAsiaTheme="minorHAnsi" w:hAnsiTheme="minorHAnsi" w:cstheme="minorHAnsi"/>
          <w:kern w:val="2"/>
          <w:lang w:val="en-US" w:eastAsia="en-US"/>
          <w14:ligatures w14:val="standardContextual"/>
        </w:rPr>
        <w:t xml:space="preserve"> by the Fertiliser Quality Council Executive Committee</w:t>
      </w:r>
      <w:r w:rsidR="00CC6B49">
        <w:rPr>
          <w:rFonts w:asciiTheme="minorHAnsi" w:eastAsiaTheme="minorHAnsi" w:hAnsiTheme="minorHAnsi" w:cstheme="minorHAnsi"/>
          <w:kern w:val="2"/>
          <w:lang w:val="en-US" w:eastAsia="en-US"/>
          <w14:ligatures w14:val="standardContextual"/>
        </w:rPr>
        <w:t xml:space="preserve"> and </w:t>
      </w:r>
      <w:r w:rsidR="005B67E5">
        <w:rPr>
          <w:rFonts w:asciiTheme="minorHAnsi" w:eastAsiaTheme="minorHAnsi" w:hAnsiTheme="minorHAnsi" w:cstheme="minorHAnsi"/>
          <w:kern w:val="2"/>
          <w:lang w:val="en-US" w:eastAsia="en-US"/>
          <w14:ligatures w14:val="standardContextual"/>
        </w:rPr>
        <w:t>anyone acting under their delegated authority.</w:t>
      </w:r>
    </w:p>
    <w:p w14:paraId="5A16F814" w14:textId="77777777" w:rsidR="00584BE3" w:rsidRPr="00680AF5" w:rsidRDefault="00584BE3" w:rsidP="00584BE3">
      <w:pPr>
        <w:spacing w:after="160" w:line="259" w:lineRule="auto"/>
        <w:ind w:left="360"/>
        <w:contextualSpacing/>
        <w:jc w:val="both"/>
        <w:rPr>
          <w:rFonts w:asciiTheme="minorHAnsi" w:eastAsiaTheme="minorHAnsi" w:hAnsiTheme="minorHAnsi" w:cstheme="minorHAnsi"/>
          <w:kern w:val="2"/>
          <w:lang w:val="en-US" w:eastAsia="en-US"/>
          <w14:ligatures w14:val="standardContextual"/>
        </w:rPr>
      </w:pPr>
    </w:p>
    <w:p w14:paraId="68F6C796" w14:textId="78808D39" w:rsidR="00CC4312" w:rsidRPr="00CC4312" w:rsidRDefault="00CC4312" w:rsidP="00CC4312">
      <w:pPr>
        <w:numPr>
          <w:ilvl w:val="0"/>
          <w:numId w:val="31"/>
        </w:numPr>
        <w:spacing w:after="160" w:line="259" w:lineRule="auto"/>
        <w:ind w:left="360"/>
        <w:contextualSpacing/>
        <w:jc w:val="both"/>
        <w:rPr>
          <w:rFonts w:asciiTheme="minorHAnsi" w:eastAsiaTheme="minorHAnsi" w:hAnsiTheme="minorHAnsi" w:cstheme="minorHAnsi"/>
          <w:kern w:val="2"/>
          <w:lang w:val="en-US" w:eastAsia="en-US"/>
          <w14:ligatures w14:val="standardContextual"/>
        </w:rPr>
      </w:pPr>
      <w:r w:rsidRPr="00CC4312">
        <w:rPr>
          <w:rFonts w:asciiTheme="minorHAnsi" w:eastAsiaTheme="minorHAnsi" w:hAnsiTheme="minorHAnsi" w:cstheme="minorHAnsi"/>
          <w:kern w:val="2"/>
          <w:lang w:eastAsia="en-US"/>
          <w14:ligatures w14:val="standardContextual"/>
        </w:rPr>
        <w:t>The term of approval shall be for a term of two years or any other term that the Fertiliser Quality Council Executive Committee determines.</w:t>
      </w:r>
    </w:p>
    <w:p w14:paraId="4E7253BC" w14:textId="77777777" w:rsidR="00CC4312" w:rsidRPr="00CC4312" w:rsidRDefault="00CC4312" w:rsidP="00CC4312">
      <w:pPr>
        <w:spacing w:after="160" w:line="259" w:lineRule="auto"/>
        <w:ind w:left="360"/>
        <w:contextualSpacing/>
        <w:jc w:val="both"/>
        <w:rPr>
          <w:rFonts w:asciiTheme="minorHAnsi" w:eastAsiaTheme="minorHAnsi" w:hAnsiTheme="minorHAnsi" w:cstheme="minorHAnsi"/>
          <w:i/>
          <w:iCs/>
          <w:color w:val="538135" w:themeColor="accent6" w:themeShade="BF"/>
          <w:kern w:val="2"/>
          <w:lang w:eastAsia="en-US"/>
          <w14:ligatures w14:val="standardContextual"/>
        </w:rPr>
      </w:pPr>
    </w:p>
    <w:p w14:paraId="13031F5A" w14:textId="3E463D6F" w:rsidR="00CC4312" w:rsidRPr="00CC4312" w:rsidRDefault="00CC4312" w:rsidP="00CC4312">
      <w:pPr>
        <w:numPr>
          <w:ilvl w:val="0"/>
          <w:numId w:val="31"/>
        </w:numPr>
        <w:spacing w:after="160" w:line="259" w:lineRule="auto"/>
        <w:ind w:left="360"/>
        <w:contextualSpacing/>
        <w:jc w:val="both"/>
        <w:rPr>
          <w:rFonts w:asciiTheme="minorHAnsi" w:eastAsiaTheme="minorHAnsi" w:hAnsiTheme="minorHAnsi" w:cstheme="minorHAnsi"/>
          <w:kern w:val="2"/>
          <w:lang w:val="en-US" w:eastAsia="en-US"/>
          <w14:ligatures w14:val="standardContextual"/>
        </w:rPr>
      </w:pPr>
      <w:r w:rsidRPr="00CC4312">
        <w:rPr>
          <w:rFonts w:asciiTheme="minorHAnsi" w:eastAsiaTheme="minorHAnsi" w:hAnsiTheme="minorHAnsi" w:cstheme="minorHAnsi"/>
          <w:kern w:val="2"/>
          <w:lang w:eastAsia="en-US"/>
          <w14:ligatures w14:val="standardContextual"/>
        </w:rPr>
        <w:t xml:space="preserve">Spreadmark Approved Spreading </w:t>
      </w:r>
      <w:r w:rsidR="00C37724">
        <w:rPr>
          <w:rFonts w:asciiTheme="minorHAnsi" w:eastAsiaTheme="minorHAnsi" w:hAnsiTheme="minorHAnsi" w:cstheme="minorHAnsi"/>
          <w:kern w:val="2"/>
          <w:lang w:eastAsia="en-US"/>
          <w14:ligatures w14:val="standardContextual"/>
        </w:rPr>
        <w:t>Unit</w:t>
      </w:r>
      <w:r w:rsidRPr="00CC4312">
        <w:rPr>
          <w:rFonts w:asciiTheme="minorHAnsi" w:eastAsiaTheme="minorHAnsi" w:hAnsiTheme="minorHAnsi" w:cstheme="minorHAnsi"/>
          <w:kern w:val="2"/>
          <w:lang w:eastAsia="en-US"/>
          <w14:ligatures w14:val="standardContextual"/>
        </w:rPr>
        <w:t xml:space="preserve"> Testers </w:t>
      </w:r>
      <w:r w:rsidR="00941496">
        <w:rPr>
          <w:rFonts w:asciiTheme="minorHAnsi" w:eastAsiaTheme="minorHAnsi" w:hAnsiTheme="minorHAnsi" w:cstheme="minorHAnsi"/>
          <w:kern w:val="2"/>
          <w:lang w:eastAsia="en-US"/>
          <w14:ligatures w14:val="standardContextual"/>
        </w:rPr>
        <w:t>s</w:t>
      </w:r>
      <w:r w:rsidR="006A6F29">
        <w:rPr>
          <w:rFonts w:asciiTheme="minorHAnsi" w:eastAsiaTheme="minorHAnsi" w:hAnsiTheme="minorHAnsi" w:cstheme="minorHAnsi"/>
          <w:kern w:val="2"/>
          <w:lang w:eastAsia="en-US"/>
          <w14:ligatures w14:val="standardContextual"/>
        </w:rPr>
        <w:t>hall</w:t>
      </w:r>
      <w:r w:rsidRPr="00CC4312">
        <w:rPr>
          <w:rFonts w:asciiTheme="minorHAnsi" w:eastAsiaTheme="minorHAnsi" w:hAnsiTheme="minorHAnsi" w:cstheme="minorHAnsi"/>
          <w:kern w:val="2"/>
          <w:lang w:eastAsia="en-US"/>
          <w14:ligatures w14:val="standardContextual"/>
        </w:rPr>
        <w:t xml:space="preserve"> be appropriately qualified and </w:t>
      </w:r>
      <w:r w:rsidR="002904C7">
        <w:rPr>
          <w:rFonts w:asciiTheme="minorHAnsi" w:eastAsiaTheme="minorHAnsi" w:hAnsiTheme="minorHAnsi" w:cstheme="minorHAnsi"/>
          <w:kern w:val="2"/>
          <w:lang w:eastAsia="en-US"/>
          <w14:ligatures w14:val="standardContextual"/>
        </w:rPr>
        <w:t xml:space="preserve">should be </w:t>
      </w:r>
      <w:r w:rsidRPr="00CC4312">
        <w:rPr>
          <w:rFonts w:asciiTheme="minorHAnsi" w:eastAsiaTheme="minorHAnsi" w:hAnsiTheme="minorHAnsi" w:cstheme="minorHAnsi"/>
          <w:kern w:val="2"/>
          <w:lang w:eastAsia="en-US"/>
          <w14:ligatures w14:val="standardContextual"/>
        </w:rPr>
        <w:t xml:space="preserve">able to display practical experience </w:t>
      </w:r>
      <w:r w:rsidR="00CB1556">
        <w:rPr>
          <w:rFonts w:asciiTheme="minorHAnsi" w:eastAsiaTheme="minorHAnsi" w:hAnsiTheme="minorHAnsi" w:cstheme="minorHAnsi"/>
          <w:kern w:val="2"/>
          <w:lang w:eastAsia="en-US"/>
          <w14:ligatures w14:val="standardContextual"/>
        </w:rPr>
        <w:t xml:space="preserve">relevant to the agricultural </w:t>
      </w:r>
      <w:r w:rsidR="00914AD2">
        <w:rPr>
          <w:rFonts w:asciiTheme="minorHAnsi" w:eastAsiaTheme="minorHAnsi" w:hAnsiTheme="minorHAnsi" w:cstheme="minorHAnsi"/>
          <w:kern w:val="2"/>
          <w:lang w:eastAsia="en-US"/>
          <w14:ligatures w14:val="standardContextual"/>
        </w:rPr>
        <w:t xml:space="preserve">aviation </w:t>
      </w:r>
      <w:r w:rsidR="00F74609">
        <w:rPr>
          <w:rFonts w:asciiTheme="minorHAnsi" w:eastAsiaTheme="minorHAnsi" w:hAnsiTheme="minorHAnsi" w:cstheme="minorHAnsi"/>
          <w:kern w:val="2"/>
          <w:lang w:eastAsia="en-US"/>
          <w14:ligatures w14:val="standardContextual"/>
        </w:rPr>
        <w:t>and/</w:t>
      </w:r>
      <w:r w:rsidR="00914AD2">
        <w:rPr>
          <w:rFonts w:asciiTheme="minorHAnsi" w:eastAsiaTheme="minorHAnsi" w:hAnsiTheme="minorHAnsi" w:cstheme="minorHAnsi"/>
          <w:kern w:val="2"/>
          <w:lang w:eastAsia="en-US"/>
          <w14:ligatures w14:val="standardContextual"/>
        </w:rPr>
        <w:t>or groundspread</w:t>
      </w:r>
      <w:r w:rsidRPr="00CC4312">
        <w:rPr>
          <w:rFonts w:asciiTheme="minorHAnsi" w:eastAsiaTheme="minorHAnsi" w:hAnsiTheme="minorHAnsi" w:cstheme="minorHAnsi"/>
          <w:kern w:val="2"/>
          <w:lang w:eastAsia="en-US"/>
          <w14:ligatures w14:val="standardContextual"/>
        </w:rPr>
        <w:t xml:space="preserve"> industry.</w:t>
      </w:r>
    </w:p>
    <w:p w14:paraId="3526B879" w14:textId="77777777" w:rsidR="00CC4312" w:rsidRPr="00CC4312" w:rsidRDefault="00CC4312" w:rsidP="00CC4312">
      <w:pPr>
        <w:spacing w:after="160" w:line="259" w:lineRule="auto"/>
        <w:ind w:left="360"/>
        <w:contextualSpacing/>
        <w:jc w:val="both"/>
        <w:rPr>
          <w:rFonts w:asciiTheme="minorHAnsi" w:eastAsiaTheme="minorHAnsi" w:hAnsiTheme="minorHAnsi" w:cstheme="minorHAnsi"/>
          <w:i/>
          <w:iCs/>
          <w:color w:val="538135" w:themeColor="accent6" w:themeShade="BF"/>
          <w:kern w:val="2"/>
          <w:lang w:eastAsia="en-US"/>
          <w14:ligatures w14:val="standardContextual"/>
        </w:rPr>
      </w:pPr>
    </w:p>
    <w:p w14:paraId="275D5140" w14:textId="52E97E3E" w:rsidR="00CC4312" w:rsidRPr="00F767F3" w:rsidRDefault="00CC4312" w:rsidP="00EB6BC2">
      <w:pPr>
        <w:numPr>
          <w:ilvl w:val="0"/>
          <w:numId w:val="31"/>
        </w:numPr>
        <w:spacing w:after="160" w:line="259" w:lineRule="auto"/>
        <w:ind w:left="360"/>
        <w:contextualSpacing/>
        <w:jc w:val="both"/>
        <w:rPr>
          <w:rFonts w:asciiTheme="minorHAnsi" w:eastAsiaTheme="minorHAnsi" w:hAnsiTheme="minorHAnsi" w:cstheme="minorHAnsi"/>
          <w:kern w:val="2"/>
          <w:lang w:val="en-US" w:eastAsia="en-US"/>
          <w14:ligatures w14:val="standardContextual"/>
        </w:rPr>
      </w:pPr>
      <w:r w:rsidRPr="00932D1E">
        <w:rPr>
          <w:rFonts w:asciiTheme="minorHAnsi" w:eastAsiaTheme="minorHAnsi" w:hAnsiTheme="minorHAnsi" w:cstheme="minorHAnsi"/>
          <w:kern w:val="2"/>
          <w:lang w:eastAsia="en-US"/>
          <w14:ligatures w14:val="standardContextual"/>
        </w:rPr>
        <w:t xml:space="preserve"> </w:t>
      </w:r>
      <w:r w:rsidRPr="00F767F3">
        <w:rPr>
          <w:rFonts w:asciiTheme="minorHAnsi" w:eastAsiaTheme="minorHAnsi" w:hAnsiTheme="minorHAnsi" w:cstheme="minorHAnsi"/>
          <w:kern w:val="2"/>
          <w:lang w:val="en-US" w:eastAsia="en-US"/>
          <w14:ligatures w14:val="standardContextual"/>
        </w:rPr>
        <w:t xml:space="preserve">The register of Approved Spreading </w:t>
      </w:r>
      <w:r w:rsidR="00396E86" w:rsidRPr="00F767F3">
        <w:rPr>
          <w:rFonts w:asciiTheme="minorHAnsi" w:eastAsiaTheme="minorHAnsi" w:hAnsiTheme="minorHAnsi" w:cstheme="minorHAnsi"/>
          <w:kern w:val="2"/>
          <w:lang w:val="en-US" w:eastAsia="en-US"/>
          <w14:ligatures w14:val="standardContextual"/>
        </w:rPr>
        <w:t>Unit</w:t>
      </w:r>
      <w:r w:rsidRPr="00F767F3">
        <w:rPr>
          <w:rFonts w:asciiTheme="minorHAnsi" w:eastAsiaTheme="minorHAnsi" w:hAnsiTheme="minorHAnsi" w:cstheme="minorHAnsi"/>
          <w:kern w:val="2"/>
          <w:lang w:val="en-US" w:eastAsia="en-US"/>
          <w14:ligatures w14:val="standardContextual"/>
        </w:rPr>
        <w:t xml:space="preserve"> Testers, by name, will be held by the Executive Director </w:t>
      </w:r>
      <w:r w:rsidR="00790FF5" w:rsidRPr="00F767F3">
        <w:rPr>
          <w:rFonts w:asciiTheme="minorHAnsi" w:eastAsiaTheme="minorHAnsi" w:hAnsiTheme="minorHAnsi" w:cstheme="minorHAnsi"/>
          <w:kern w:val="2"/>
          <w:lang w:val="en-US" w:eastAsia="en-US"/>
          <w14:ligatures w14:val="standardContextual"/>
        </w:rPr>
        <w:t xml:space="preserve">of the Fertiliser Quality Council </w:t>
      </w:r>
      <w:r w:rsidRPr="00F767F3">
        <w:rPr>
          <w:rFonts w:asciiTheme="minorHAnsi" w:eastAsiaTheme="minorHAnsi" w:hAnsiTheme="minorHAnsi" w:cstheme="minorHAnsi"/>
          <w:kern w:val="2"/>
          <w:lang w:val="en-US" w:eastAsia="en-US"/>
          <w14:ligatures w14:val="standardContextual"/>
        </w:rPr>
        <w:t xml:space="preserve">or </w:t>
      </w:r>
      <w:r w:rsidR="00DF762E" w:rsidRPr="00F767F3">
        <w:rPr>
          <w:rFonts w:asciiTheme="minorHAnsi" w:eastAsiaTheme="minorHAnsi" w:hAnsiTheme="minorHAnsi" w:cstheme="minorHAnsi"/>
          <w:kern w:val="2"/>
          <w:lang w:val="en-US" w:eastAsia="en-US"/>
          <w14:ligatures w14:val="standardContextual"/>
        </w:rPr>
        <w:t>their</w:t>
      </w:r>
      <w:r w:rsidRPr="00F767F3">
        <w:rPr>
          <w:rFonts w:asciiTheme="minorHAnsi" w:eastAsiaTheme="minorHAnsi" w:hAnsiTheme="minorHAnsi" w:cstheme="minorHAnsi"/>
          <w:kern w:val="2"/>
          <w:lang w:val="en-US" w:eastAsia="en-US"/>
          <w14:ligatures w14:val="standardContextual"/>
        </w:rPr>
        <w:t xml:space="preserve"> nominee</w:t>
      </w:r>
      <w:r w:rsidR="00CA1315" w:rsidRPr="00F767F3">
        <w:rPr>
          <w:rFonts w:asciiTheme="minorHAnsi" w:eastAsiaTheme="minorHAnsi" w:hAnsiTheme="minorHAnsi" w:cstheme="minorHAnsi"/>
          <w:kern w:val="2"/>
          <w:lang w:val="en-US" w:eastAsia="en-US"/>
          <w14:ligatures w14:val="standardContextual"/>
        </w:rPr>
        <w:t>.</w:t>
      </w:r>
      <w:r w:rsidRPr="00F767F3">
        <w:rPr>
          <w:rFonts w:asciiTheme="minorHAnsi" w:eastAsiaTheme="minorHAnsi" w:hAnsiTheme="minorHAnsi" w:cstheme="minorHAnsi"/>
          <w:kern w:val="2"/>
          <w:lang w:val="en-US" w:eastAsia="en-US"/>
          <w14:ligatures w14:val="standardContextual"/>
        </w:rPr>
        <w:t xml:space="preserve">  All applications to alter the terms of an Approved </w:t>
      </w:r>
      <w:r w:rsidR="0005595B">
        <w:rPr>
          <w:rFonts w:asciiTheme="minorHAnsi" w:eastAsiaTheme="minorHAnsi" w:hAnsiTheme="minorHAnsi" w:cstheme="minorHAnsi"/>
          <w:kern w:val="2"/>
          <w:lang w:val="en-US" w:eastAsia="en-US"/>
          <w14:ligatures w14:val="standardContextual"/>
        </w:rPr>
        <w:t>Spreading Unit</w:t>
      </w:r>
      <w:r w:rsidRPr="00F767F3">
        <w:rPr>
          <w:rFonts w:asciiTheme="minorHAnsi" w:eastAsiaTheme="minorHAnsi" w:hAnsiTheme="minorHAnsi" w:cstheme="minorHAnsi"/>
          <w:kern w:val="2"/>
          <w:lang w:val="en-US" w:eastAsia="en-US"/>
          <w14:ligatures w14:val="standardContextual"/>
        </w:rPr>
        <w:t xml:space="preserve"> Tester’s </w:t>
      </w:r>
      <w:r w:rsidR="005D2B4E" w:rsidRPr="00F767F3">
        <w:rPr>
          <w:rFonts w:asciiTheme="minorHAnsi" w:eastAsiaTheme="minorHAnsi" w:hAnsiTheme="minorHAnsi" w:cstheme="minorHAnsi"/>
          <w:kern w:val="2"/>
          <w:lang w:val="en-US" w:eastAsia="en-US"/>
          <w14:ligatures w14:val="standardContextual"/>
        </w:rPr>
        <w:t>approval</w:t>
      </w:r>
      <w:r w:rsidRPr="00F767F3">
        <w:rPr>
          <w:rFonts w:asciiTheme="minorHAnsi" w:eastAsiaTheme="minorHAnsi" w:hAnsiTheme="minorHAnsi" w:cstheme="minorHAnsi"/>
          <w:kern w:val="2"/>
          <w:lang w:val="en-US" w:eastAsia="en-US"/>
          <w14:ligatures w14:val="standardContextual"/>
        </w:rPr>
        <w:t xml:space="preserve"> must be made in the first instance to the Executive Director</w:t>
      </w:r>
      <w:r w:rsidR="00583E05">
        <w:rPr>
          <w:rFonts w:asciiTheme="minorHAnsi" w:eastAsiaTheme="minorHAnsi" w:hAnsiTheme="minorHAnsi" w:cstheme="minorHAnsi"/>
          <w:kern w:val="2"/>
          <w:lang w:val="en-US" w:eastAsia="en-US"/>
          <w14:ligatures w14:val="standardContextual"/>
        </w:rPr>
        <w:t>.</w:t>
      </w:r>
    </w:p>
    <w:p w14:paraId="4202C583" w14:textId="77777777" w:rsidR="00CC4312" w:rsidRPr="00583E05" w:rsidRDefault="00CC4312" w:rsidP="00CC4312">
      <w:pPr>
        <w:spacing w:after="160" w:line="259" w:lineRule="auto"/>
        <w:ind w:left="360"/>
        <w:contextualSpacing/>
        <w:jc w:val="both"/>
        <w:rPr>
          <w:rFonts w:asciiTheme="minorHAnsi" w:eastAsiaTheme="minorHAnsi" w:hAnsiTheme="minorHAnsi" w:cstheme="minorHAnsi"/>
          <w:color w:val="538135" w:themeColor="accent6" w:themeShade="BF"/>
          <w:kern w:val="2"/>
          <w:lang w:val="en-US" w:eastAsia="en-US"/>
          <w14:ligatures w14:val="standardContextual"/>
        </w:rPr>
      </w:pPr>
    </w:p>
    <w:p w14:paraId="23FD3BCC" w14:textId="5CAAA1B3" w:rsidR="00CC4312" w:rsidRPr="005D2B4E" w:rsidRDefault="00CC4312" w:rsidP="005D2B4E">
      <w:pPr>
        <w:numPr>
          <w:ilvl w:val="0"/>
          <w:numId w:val="31"/>
        </w:numPr>
        <w:spacing w:after="160" w:line="259" w:lineRule="auto"/>
        <w:ind w:left="360"/>
        <w:contextualSpacing/>
        <w:jc w:val="both"/>
        <w:rPr>
          <w:rFonts w:asciiTheme="minorHAnsi" w:eastAsiaTheme="minorHAnsi" w:hAnsiTheme="minorHAnsi" w:cstheme="minorHAnsi"/>
          <w:color w:val="000000" w:themeColor="text1"/>
          <w:kern w:val="2"/>
          <w:lang w:val="en-US" w:eastAsia="en-US"/>
          <w14:ligatures w14:val="standardContextual"/>
        </w:rPr>
      </w:pPr>
      <w:r w:rsidRPr="00CC4312">
        <w:rPr>
          <w:rFonts w:asciiTheme="minorHAnsi" w:eastAsiaTheme="minorHAnsi" w:hAnsiTheme="minorHAnsi" w:cstheme="minorHAnsi"/>
          <w:color w:val="000000" w:themeColor="text1"/>
          <w:kern w:val="2"/>
          <w:lang w:eastAsia="en-US"/>
          <w14:ligatures w14:val="standardContextual"/>
        </w:rPr>
        <w:t xml:space="preserve">A Spreadmark Approved Spreading </w:t>
      </w:r>
      <w:r w:rsidR="0005595B">
        <w:rPr>
          <w:rFonts w:asciiTheme="minorHAnsi" w:eastAsiaTheme="minorHAnsi" w:hAnsiTheme="minorHAnsi" w:cstheme="minorHAnsi"/>
          <w:color w:val="000000" w:themeColor="text1"/>
          <w:kern w:val="2"/>
          <w:lang w:eastAsia="en-US"/>
          <w14:ligatures w14:val="standardContextual"/>
        </w:rPr>
        <w:t>Unit</w:t>
      </w:r>
      <w:r w:rsidRPr="00CC4312">
        <w:rPr>
          <w:rFonts w:asciiTheme="minorHAnsi" w:eastAsiaTheme="minorHAnsi" w:hAnsiTheme="minorHAnsi" w:cstheme="minorHAnsi"/>
          <w:color w:val="000000" w:themeColor="text1"/>
          <w:kern w:val="2"/>
          <w:lang w:eastAsia="en-US"/>
          <w14:ligatures w14:val="standardContextual"/>
        </w:rPr>
        <w:t xml:space="preserve"> Tester </w:t>
      </w:r>
      <w:r w:rsidR="00874D62">
        <w:rPr>
          <w:rFonts w:asciiTheme="minorHAnsi" w:eastAsiaTheme="minorHAnsi" w:hAnsiTheme="minorHAnsi" w:cstheme="minorHAnsi"/>
          <w:color w:val="000000" w:themeColor="text1"/>
          <w:kern w:val="2"/>
          <w:lang w:eastAsia="en-US"/>
          <w14:ligatures w14:val="standardContextual"/>
        </w:rPr>
        <w:t>shall</w:t>
      </w:r>
      <w:r w:rsidRPr="00CC4312">
        <w:rPr>
          <w:rFonts w:asciiTheme="minorHAnsi" w:eastAsiaTheme="minorHAnsi" w:hAnsiTheme="minorHAnsi" w:cstheme="minorHAnsi"/>
          <w:color w:val="000000" w:themeColor="text1"/>
          <w:kern w:val="2"/>
          <w:lang w:eastAsia="en-US"/>
          <w14:ligatures w14:val="standardContextual"/>
        </w:rPr>
        <w:t xml:space="preserve"> be capable of managing spreader </w:t>
      </w:r>
      <w:r w:rsidR="0005595B">
        <w:rPr>
          <w:rFonts w:asciiTheme="minorHAnsi" w:eastAsiaTheme="minorHAnsi" w:hAnsiTheme="minorHAnsi" w:cstheme="minorHAnsi"/>
          <w:color w:val="000000" w:themeColor="text1"/>
          <w:kern w:val="2"/>
          <w:lang w:eastAsia="en-US"/>
          <w14:ligatures w14:val="standardContextual"/>
        </w:rPr>
        <w:t>unit</w:t>
      </w:r>
      <w:r w:rsidRPr="00CC4312">
        <w:rPr>
          <w:rFonts w:asciiTheme="minorHAnsi" w:eastAsiaTheme="minorHAnsi" w:hAnsiTheme="minorHAnsi" w:cstheme="minorHAnsi"/>
          <w:color w:val="000000" w:themeColor="text1"/>
          <w:kern w:val="2"/>
          <w:lang w:eastAsia="en-US"/>
          <w14:ligatures w14:val="standardContextual"/>
        </w:rPr>
        <w:t xml:space="preserve"> testing, but who is also able to maintain the integrity of the Spreadmark Spreading </w:t>
      </w:r>
      <w:r w:rsidR="0005595B">
        <w:rPr>
          <w:rFonts w:asciiTheme="minorHAnsi" w:eastAsiaTheme="minorHAnsi" w:hAnsiTheme="minorHAnsi" w:cstheme="minorHAnsi"/>
          <w:color w:val="000000" w:themeColor="text1"/>
          <w:kern w:val="2"/>
          <w:lang w:eastAsia="en-US"/>
          <w14:ligatures w14:val="standardContextual"/>
        </w:rPr>
        <w:t>Unit</w:t>
      </w:r>
      <w:r w:rsidRPr="00CC4312">
        <w:rPr>
          <w:rFonts w:asciiTheme="minorHAnsi" w:eastAsiaTheme="minorHAnsi" w:hAnsiTheme="minorHAnsi" w:cstheme="minorHAnsi"/>
          <w:color w:val="000000" w:themeColor="text1"/>
          <w:kern w:val="2"/>
          <w:lang w:eastAsia="en-US"/>
          <w14:ligatures w14:val="standardContextual"/>
        </w:rPr>
        <w:t xml:space="preserve"> Testing process.</w:t>
      </w:r>
    </w:p>
    <w:p w14:paraId="44EBC79E" w14:textId="77777777" w:rsidR="00CC4312" w:rsidRPr="00CC4312" w:rsidRDefault="00CC4312" w:rsidP="00CC4312">
      <w:pPr>
        <w:spacing w:after="160" w:line="259" w:lineRule="auto"/>
        <w:ind w:left="360"/>
        <w:contextualSpacing/>
        <w:jc w:val="both"/>
        <w:rPr>
          <w:rFonts w:asciiTheme="minorHAnsi" w:eastAsiaTheme="minorHAnsi" w:hAnsiTheme="minorHAnsi" w:cstheme="minorHAnsi"/>
          <w:color w:val="000000" w:themeColor="text1"/>
          <w:kern w:val="2"/>
          <w:lang w:val="en-US" w:eastAsia="en-US"/>
          <w14:ligatures w14:val="standardContextual"/>
        </w:rPr>
      </w:pPr>
    </w:p>
    <w:p w14:paraId="2455CF51" w14:textId="0D80131F" w:rsidR="00CC4312" w:rsidRPr="00CC4312" w:rsidRDefault="00CC4312" w:rsidP="00CC4312">
      <w:pPr>
        <w:numPr>
          <w:ilvl w:val="0"/>
          <w:numId w:val="31"/>
        </w:numPr>
        <w:spacing w:after="160" w:line="259" w:lineRule="auto"/>
        <w:ind w:left="360"/>
        <w:contextualSpacing/>
        <w:jc w:val="both"/>
        <w:rPr>
          <w:rFonts w:asciiTheme="minorHAnsi" w:eastAsiaTheme="minorHAnsi" w:hAnsiTheme="minorHAnsi" w:cstheme="minorHAnsi"/>
          <w:color w:val="000000" w:themeColor="text1"/>
          <w:kern w:val="2"/>
          <w:lang w:val="en-US" w:eastAsia="en-US"/>
          <w14:ligatures w14:val="standardContextual"/>
        </w:rPr>
      </w:pPr>
      <w:r w:rsidRPr="00CC4312">
        <w:rPr>
          <w:rFonts w:asciiTheme="minorHAnsi" w:eastAsiaTheme="minorHAnsi" w:hAnsiTheme="minorHAnsi" w:cstheme="minorHAnsi"/>
          <w:color w:val="000000" w:themeColor="text1"/>
          <w:kern w:val="2"/>
          <w:lang w:val="en-US" w:eastAsia="en-US"/>
          <w14:ligatures w14:val="standardContextual"/>
        </w:rPr>
        <w:t xml:space="preserve">Any complaint about an approved Spreadmark Spreading </w:t>
      </w:r>
      <w:r w:rsidR="0005595B">
        <w:rPr>
          <w:rFonts w:asciiTheme="minorHAnsi" w:eastAsiaTheme="minorHAnsi" w:hAnsiTheme="minorHAnsi" w:cstheme="minorHAnsi"/>
          <w:color w:val="000000" w:themeColor="text1"/>
          <w:kern w:val="2"/>
          <w:lang w:val="en-US" w:eastAsia="en-US"/>
          <w14:ligatures w14:val="standardContextual"/>
        </w:rPr>
        <w:t>Uni</w:t>
      </w:r>
      <w:r w:rsidRPr="00CC4312">
        <w:rPr>
          <w:rFonts w:asciiTheme="minorHAnsi" w:eastAsiaTheme="minorHAnsi" w:hAnsiTheme="minorHAnsi" w:cstheme="minorHAnsi"/>
          <w:color w:val="000000" w:themeColor="text1"/>
          <w:kern w:val="2"/>
          <w:lang w:val="en-US" w:eastAsia="en-US"/>
          <w14:ligatures w14:val="standardContextual"/>
        </w:rPr>
        <w:t>t tester must in the first instance be made to the Executive Director for resolution.</w:t>
      </w:r>
    </w:p>
    <w:p w14:paraId="79368608" w14:textId="77777777" w:rsidR="00CC4312" w:rsidRPr="00CC4312" w:rsidRDefault="00CC4312" w:rsidP="00CC4312">
      <w:pPr>
        <w:spacing w:after="160" w:line="259" w:lineRule="auto"/>
        <w:jc w:val="both"/>
        <w:rPr>
          <w:rFonts w:asciiTheme="minorHAnsi" w:eastAsiaTheme="minorHAnsi" w:hAnsiTheme="minorHAnsi" w:cstheme="minorHAnsi"/>
          <w:color w:val="000000" w:themeColor="text1"/>
          <w:kern w:val="2"/>
          <w:lang w:val="en-US" w:eastAsia="en-US"/>
          <w14:ligatures w14:val="standardContextual"/>
        </w:rPr>
      </w:pPr>
    </w:p>
    <w:p w14:paraId="3BC0C6E2" w14:textId="77777777" w:rsidR="00CC4312" w:rsidRPr="00CC4312" w:rsidRDefault="00CC4312" w:rsidP="00CC4312">
      <w:pPr>
        <w:spacing w:after="160" w:line="259" w:lineRule="auto"/>
        <w:jc w:val="both"/>
        <w:rPr>
          <w:rFonts w:asciiTheme="minorHAnsi" w:eastAsiaTheme="minorHAnsi" w:hAnsiTheme="minorHAnsi" w:cstheme="minorHAnsi"/>
          <w:b/>
          <w:bCs/>
          <w:kern w:val="2"/>
          <w:lang w:val="en-US" w:eastAsia="en-US"/>
          <w14:ligatures w14:val="standardContextual"/>
        </w:rPr>
      </w:pPr>
      <w:r w:rsidRPr="00CC4312">
        <w:rPr>
          <w:rFonts w:asciiTheme="minorHAnsi" w:eastAsiaTheme="minorHAnsi" w:hAnsiTheme="minorHAnsi" w:cstheme="minorHAnsi"/>
          <w:b/>
          <w:bCs/>
          <w:kern w:val="2"/>
          <w:lang w:val="en-US" w:eastAsia="en-US"/>
          <w14:ligatures w14:val="standardContextual"/>
        </w:rPr>
        <w:t>Approval Processes</w:t>
      </w:r>
    </w:p>
    <w:p w14:paraId="6D9AAE2E" w14:textId="3733F306" w:rsidR="00CC4312" w:rsidRPr="00CC4312" w:rsidRDefault="00CC4312" w:rsidP="00CC4312">
      <w:pPr>
        <w:numPr>
          <w:ilvl w:val="0"/>
          <w:numId w:val="32"/>
        </w:numPr>
        <w:spacing w:after="160" w:line="259" w:lineRule="auto"/>
        <w:ind w:left="360"/>
        <w:contextualSpacing/>
        <w:jc w:val="both"/>
        <w:rPr>
          <w:rFonts w:asciiTheme="minorHAnsi" w:eastAsiaTheme="minorHAnsi" w:hAnsiTheme="minorHAnsi" w:cstheme="minorHAnsi"/>
          <w:color w:val="000000" w:themeColor="text1"/>
          <w:kern w:val="2"/>
          <w:lang w:eastAsia="en-US"/>
          <w14:ligatures w14:val="standardContextual"/>
        </w:rPr>
      </w:pPr>
      <w:r w:rsidRPr="00CC4312">
        <w:rPr>
          <w:rFonts w:asciiTheme="minorHAnsi" w:eastAsiaTheme="minorHAnsi" w:hAnsiTheme="minorHAnsi" w:cstheme="minorHAnsi"/>
          <w:color w:val="000000" w:themeColor="text1"/>
          <w:kern w:val="2"/>
          <w:lang w:eastAsia="en-US"/>
          <w14:ligatures w14:val="standardContextual"/>
        </w:rPr>
        <w:t xml:space="preserve">Upon receipt of a request to become a Spreadmark Approved Spreading </w:t>
      </w:r>
      <w:r w:rsidR="0005595B">
        <w:rPr>
          <w:rFonts w:asciiTheme="minorHAnsi" w:eastAsiaTheme="minorHAnsi" w:hAnsiTheme="minorHAnsi" w:cstheme="minorHAnsi"/>
          <w:color w:val="000000" w:themeColor="text1"/>
          <w:kern w:val="2"/>
          <w:lang w:eastAsia="en-US"/>
          <w14:ligatures w14:val="standardContextual"/>
        </w:rPr>
        <w:t>Uni</w:t>
      </w:r>
      <w:r w:rsidRPr="00CC4312">
        <w:rPr>
          <w:rFonts w:asciiTheme="minorHAnsi" w:eastAsiaTheme="minorHAnsi" w:hAnsiTheme="minorHAnsi" w:cstheme="minorHAnsi"/>
          <w:color w:val="000000" w:themeColor="text1"/>
          <w:kern w:val="2"/>
          <w:lang w:eastAsia="en-US"/>
          <w14:ligatures w14:val="standardContextual"/>
        </w:rPr>
        <w:t xml:space="preserve">t Tester the Executive Director </w:t>
      </w:r>
      <w:r w:rsidR="00B045A6">
        <w:rPr>
          <w:rFonts w:asciiTheme="minorHAnsi" w:eastAsiaTheme="minorHAnsi" w:hAnsiTheme="minorHAnsi" w:cstheme="minorHAnsi"/>
          <w:color w:val="000000" w:themeColor="text1"/>
          <w:kern w:val="2"/>
          <w:lang w:eastAsia="en-US"/>
          <w14:ligatures w14:val="standardContextual"/>
        </w:rPr>
        <w:t>sh</w:t>
      </w:r>
      <w:r w:rsidR="00874D62">
        <w:rPr>
          <w:rFonts w:asciiTheme="minorHAnsi" w:eastAsiaTheme="minorHAnsi" w:hAnsiTheme="minorHAnsi" w:cstheme="minorHAnsi"/>
          <w:color w:val="000000" w:themeColor="text1"/>
          <w:kern w:val="2"/>
          <w:lang w:eastAsia="en-US"/>
          <w14:ligatures w14:val="standardContextual"/>
        </w:rPr>
        <w:t>all</w:t>
      </w:r>
      <w:r w:rsidRPr="00CC4312">
        <w:rPr>
          <w:rFonts w:asciiTheme="minorHAnsi" w:eastAsiaTheme="minorHAnsi" w:hAnsiTheme="minorHAnsi" w:cstheme="minorHAnsi"/>
          <w:color w:val="000000" w:themeColor="text1"/>
          <w:kern w:val="2"/>
          <w:lang w:eastAsia="en-US"/>
          <w14:ligatures w14:val="standardContextual"/>
        </w:rPr>
        <w:t xml:space="preserve"> forward the application to the Spreadmark auditor who will, without undue delay, </w:t>
      </w:r>
      <w:r w:rsidRPr="00CC4312">
        <w:rPr>
          <w:rFonts w:asciiTheme="minorHAnsi" w:eastAsiaTheme="minorHAnsi" w:hAnsiTheme="minorHAnsi" w:cstheme="minorHAnsi"/>
          <w:color w:val="000000" w:themeColor="text1"/>
          <w:kern w:val="2"/>
          <w:lang w:eastAsia="en-US"/>
          <w14:ligatures w14:val="standardContextual"/>
        </w:rPr>
        <w:lastRenderedPageBreak/>
        <w:t xml:space="preserve">contact the applicant to arrange a suitable time for an audit of their </w:t>
      </w:r>
      <w:r w:rsidR="003F41F8">
        <w:rPr>
          <w:rFonts w:asciiTheme="minorHAnsi" w:eastAsiaTheme="minorHAnsi" w:hAnsiTheme="minorHAnsi" w:cstheme="minorHAnsi"/>
          <w:color w:val="000000" w:themeColor="text1"/>
          <w:kern w:val="2"/>
          <w:lang w:eastAsia="en-US"/>
          <w14:ligatures w14:val="standardContextual"/>
        </w:rPr>
        <w:t>spreading unit</w:t>
      </w:r>
      <w:r w:rsidRPr="00CC4312">
        <w:rPr>
          <w:rFonts w:asciiTheme="minorHAnsi" w:eastAsiaTheme="minorHAnsi" w:hAnsiTheme="minorHAnsi" w:cstheme="minorHAnsi"/>
          <w:color w:val="000000" w:themeColor="text1"/>
          <w:kern w:val="2"/>
          <w:lang w:eastAsia="en-US"/>
          <w14:ligatures w14:val="standardContextual"/>
        </w:rPr>
        <w:t xml:space="preserve">, </w:t>
      </w:r>
      <w:r w:rsidR="0062293D" w:rsidRPr="00CC4312">
        <w:rPr>
          <w:rFonts w:asciiTheme="minorHAnsi" w:eastAsiaTheme="minorHAnsi" w:hAnsiTheme="minorHAnsi" w:cstheme="minorHAnsi"/>
          <w:color w:val="000000" w:themeColor="text1"/>
          <w:kern w:val="2"/>
          <w:lang w:eastAsia="en-US"/>
          <w14:ligatures w14:val="standardContextual"/>
        </w:rPr>
        <w:t>processes,</w:t>
      </w:r>
      <w:r w:rsidRPr="00CC4312">
        <w:rPr>
          <w:rFonts w:asciiTheme="minorHAnsi" w:eastAsiaTheme="minorHAnsi" w:hAnsiTheme="minorHAnsi" w:cstheme="minorHAnsi"/>
          <w:color w:val="000000" w:themeColor="text1"/>
          <w:kern w:val="2"/>
          <w:lang w:eastAsia="en-US"/>
          <w14:ligatures w14:val="standardContextual"/>
        </w:rPr>
        <w:t xml:space="preserve"> and software to evaluate whether they comply with the requirements of this Code.</w:t>
      </w:r>
    </w:p>
    <w:p w14:paraId="76D44411" w14:textId="7C526D3C" w:rsidR="00CC4312" w:rsidRPr="00CC4312" w:rsidRDefault="00CC4312" w:rsidP="00CC4312">
      <w:pPr>
        <w:spacing w:after="160" w:line="259" w:lineRule="auto"/>
        <w:jc w:val="both"/>
        <w:rPr>
          <w:rFonts w:asciiTheme="minorHAnsi" w:eastAsiaTheme="minorHAnsi" w:hAnsiTheme="minorHAnsi" w:cstheme="minorHAnsi"/>
          <w:color w:val="000000" w:themeColor="text1"/>
          <w:kern w:val="2"/>
          <w:lang w:val="en-US" w:eastAsia="en-US"/>
          <w14:ligatures w14:val="standardContextual"/>
        </w:rPr>
      </w:pPr>
    </w:p>
    <w:p w14:paraId="4844379C" w14:textId="76B6AA5B" w:rsidR="00CC4312" w:rsidRPr="00CC4312" w:rsidRDefault="00CC4312" w:rsidP="00CC4312">
      <w:pPr>
        <w:numPr>
          <w:ilvl w:val="0"/>
          <w:numId w:val="32"/>
        </w:numPr>
        <w:spacing w:after="160" w:line="259" w:lineRule="auto"/>
        <w:ind w:left="360"/>
        <w:contextualSpacing/>
        <w:jc w:val="both"/>
        <w:rPr>
          <w:rFonts w:asciiTheme="minorHAnsi" w:eastAsiaTheme="minorHAnsi" w:hAnsiTheme="minorHAnsi" w:cstheme="minorHAnsi"/>
          <w:color w:val="000000" w:themeColor="text1"/>
          <w:kern w:val="2"/>
          <w:lang w:val="en-US" w:eastAsia="en-US"/>
          <w14:ligatures w14:val="standardContextual"/>
        </w:rPr>
      </w:pPr>
      <w:r w:rsidRPr="00CC4312">
        <w:rPr>
          <w:rFonts w:asciiTheme="minorHAnsi" w:eastAsiaTheme="minorHAnsi" w:hAnsiTheme="minorHAnsi" w:cstheme="minorHAnsi"/>
          <w:color w:val="000000" w:themeColor="text1"/>
          <w:kern w:val="2"/>
          <w:lang w:val="en-US" w:eastAsia="en-US"/>
          <w14:ligatures w14:val="standardContextual"/>
        </w:rPr>
        <w:t xml:space="preserve">The auditor shall report their findings and recommendations to the Executive Director who </w:t>
      </w:r>
      <w:r w:rsidR="006A340B">
        <w:rPr>
          <w:rFonts w:asciiTheme="minorHAnsi" w:eastAsiaTheme="minorHAnsi" w:hAnsiTheme="minorHAnsi" w:cstheme="minorHAnsi"/>
          <w:color w:val="000000" w:themeColor="text1"/>
          <w:kern w:val="2"/>
          <w:lang w:val="en-US" w:eastAsia="en-US"/>
          <w14:ligatures w14:val="standardContextual"/>
        </w:rPr>
        <w:t>shall</w:t>
      </w:r>
      <w:r w:rsidRPr="00CC4312">
        <w:rPr>
          <w:rFonts w:asciiTheme="minorHAnsi" w:eastAsiaTheme="minorHAnsi" w:hAnsiTheme="minorHAnsi" w:cstheme="minorHAnsi"/>
          <w:color w:val="000000" w:themeColor="text1"/>
          <w:kern w:val="2"/>
          <w:lang w:val="en-US" w:eastAsia="en-US"/>
          <w14:ligatures w14:val="standardContextual"/>
        </w:rPr>
        <w:t xml:space="preserve"> seek approval from the Executive Committee </w:t>
      </w:r>
      <w:r w:rsidR="003F2EC0">
        <w:rPr>
          <w:rFonts w:asciiTheme="minorHAnsi" w:eastAsiaTheme="minorHAnsi" w:hAnsiTheme="minorHAnsi" w:cstheme="minorHAnsi"/>
          <w:color w:val="000000" w:themeColor="text1"/>
          <w:kern w:val="2"/>
          <w:lang w:val="en-US" w:eastAsia="en-US"/>
          <w14:ligatures w14:val="standardContextual"/>
        </w:rPr>
        <w:t xml:space="preserve">of the Fertiliser </w:t>
      </w:r>
      <w:r w:rsidR="00056948">
        <w:rPr>
          <w:rFonts w:asciiTheme="minorHAnsi" w:eastAsiaTheme="minorHAnsi" w:hAnsiTheme="minorHAnsi" w:cstheme="minorHAnsi"/>
          <w:color w:val="000000" w:themeColor="text1"/>
          <w:kern w:val="2"/>
          <w:lang w:val="en-US" w:eastAsia="en-US"/>
          <w14:ligatures w14:val="standardContextual"/>
        </w:rPr>
        <w:t xml:space="preserve">Quality Council </w:t>
      </w:r>
      <w:r w:rsidRPr="00CC4312">
        <w:rPr>
          <w:rFonts w:asciiTheme="minorHAnsi" w:eastAsiaTheme="minorHAnsi" w:hAnsiTheme="minorHAnsi" w:cstheme="minorHAnsi"/>
          <w:color w:val="000000" w:themeColor="text1"/>
          <w:kern w:val="2"/>
          <w:lang w:val="en-US" w:eastAsia="en-US"/>
          <w14:ligatures w14:val="standardContextual"/>
        </w:rPr>
        <w:t>for the applicant to be added to the register</w:t>
      </w:r>
      <w:r w:rsidR="00056948">
        <w:rPr>
          <w:rFonts w:asciiTheme="minorHAnsi" w:eastAsiaTheme="minorHAnsi" w:hAnsiTheme="minorHAnsi" w:cstheme="minorHAnsi"/>
          <w:color w:val="000000" w:themeColor="text1"/>
          <w:kern w:val="2"/>
          <w:lang w:val="en-US" w:eastAsia="en-US"/>
          <w14:ligatures w14:val="standardContextual"/>
        </w:rPr>
        <w:t xml:space="preserve"> of Approved Testers for </w:t>
      </w:r>
      <w:r w:rsidR="008D08EB">
        <w:rPr>
          <w:rFonts w:asciiTheme="minorHAnsi" w:eastAsiaTheme="minorHAnsi" w:hAnsiTheme="minorHAnsi" w:cstheme="minorHAnsi"/>
          <w:color w:val="000000" w:themeColor="text1"/>
          <w:kern w:val="2"/>
          <w:lang w:val="en-US" w:eastAsia="en-US"/>
          <w14:ligatures w14:val="standardContextual"/>
        </w:rPr>
        <w:t>aerial and/or ground operators</w:t>
      </w:r>
      <w:r w:rsidR="00FD2019">
        <w:rPr>
          <w:rFonts w:asciiTheme="minorHAnsi" w:eastAsiaTheme="minorHAnsi" w:hAnsiTheme="minorHAnsi" w:cstheme="minorHAnsi"/>
          <w:color w:val="000000" w:themeColor="text1"/>
          <w:kern w:val="2"/>
          <w:lang w:val="en-US" w:eastAsia="en-US"/>
          <w14:ligatures w14:val="standardContextual"/>
        </w:rPr>
        <w:t xml:space="preserve">, unless they have </w:t>
      </w:r>
      <w:r w:rsidR="009E5905">
        <w:rPr>
          <w:rFonts w:asciiTheme="minorHAnsi" w:eastAsiaTheme="minorHAnsi" w:hAnsiTheme="minorHAnsi" w:cstheme="minorHAnsi"/>
          <w:color w:val="000000" w:themeColor="text1"/>
          <w:kern w:val="2"/>
          <w:lang w:val="en-US" w:eastAsia="en-US"/>
          <w14:ligatures w14:val="standardContextual"/>
        </w:rPr>
        <w:t>delegated authority</w:t>
      </w:r>
      <w:r w:rsidRPr="00CC4312">
        <w:rPr>
          <w:rFonts w:asciiTheme="minorHAnsi" w:eastAsiaTheme="minorHAnsi" w:hAnsiTheme="minorHAnsi" w:cstheme="minorHAnsi"/>
          <w:color w:val="000000" w:themeColor="text1"/>
          <w:kern w:val="2"/>
          <w:lang w:val="en-US" w:eastAsia="en-US"/>
          <w14:ligatures w14:val="standardContextual"/>
        </w:rPr>
        <w:t xml:space="preserve">. Upon approval the applicant </w:t>
      </w:r>
      <w:r w:rsidR="008D08EB">
        <w:rPr>
          <w:rFonts w:asciiTheme="minorHAnsi" w:eastAsiaTheme="minorHAnsi" w:hAnsiTheme="minorHAnsi" w:cstheme="minorHAnsi"/>
          <w:color w:val="000000" w:themeColor="text1"/>
          <w:kern w:val="2"/>
          <w:lang w:val="en-US" w:eastAsia="en-US"/>
          <w14:ligatures w14:val="standardContextual"/>
        </w:rPr>
        <w:t>shall</w:t>
      </w:r>
      <w:r w:rsidRPr="00CC4312">
        <w:rPr>
          <w:rFonts w:asciiTheme="minorHAnsi" w:eastAsiaTheme="minorHAnsi" w:hAnsiTheme="minorHAnsi" w:cstheme="minorHAnsi"/>
          <w:color w:val="000000" w:themeColor="text1"/>
          <w:kern w:val="2"/>
          <w:lang w:val="en-US" w:eastAsia="en-US"/>
          <w14:ligatures w14:val="standardContextual"/>
        </w:rPr>
        <w:t xml:space="preserve"> be advised that they are able to carry out </w:t>
      </w:r>
      <w:r w:rsidR="009F0D42">
        <w:rPr>
          <w:rFonts w:asciiTheme="minorHAnsi" w:eastAsiaTheme="minorHAnsi" w:hAnsiTheme="minorHAnsi" w:cstheme="minorHAnsi"/>
          <w:color w:val="000000" w:themeColor="text1"/>
          <w:kern w:val="2"/>
          <w:lang w:val="en-US" w:eastAsia="en-US"/>
          <w14:ligatures w14:val="standardContextual"/>
        </w:rPr>
        <w:t>pattern</w:t>
      </w:r>
      <w:r w:rsidRPr="00CC4312">
        <w:rPr>
          <w:rFonts w:asciiTheme="minorHAnsi" w:eastAsiaTheme="minorHAnsi" w:hAnsiTheme="minorHAnsi" w:cstheme="minorHAnsi"/>
          <w:color w:val="000000" w:themeColor="text1"/>
          <w:kern w:val="2"/>
          <w:lang w:val="en-US" w:eastAsia="en-US"/>
          <w14:ligatures w14:val="standardContextual"/>
        </w:rPr>
        <w:t xml:space="preserve"> testing and certification for the Spreadmark programme and that their name will be added to the register of Approved Spreading </w:t>
      </w:r>
      <w:r w:rsidR="003F41F8">
        <w:rPr>
          <w:rFonts w:asciiTheme="minorHAnsi" w:eastAsiaTheme="minorHAnsi" w:hAnsiTheme="minorHAnsi" w:cstheme="minorHAnsi"/>
          <w:color w:val="000000" w:themeColor="text1"/>
          <w:kern w:val="2"/>
          <w:lang w:val="en-US" w:eastAsia="en-US"/>
          <w14:ligatures w14:val="standardContextual"/>
        </w:rPr>
        <w:t>Unit</w:t>
      </w:r>
      <w:r w:rsidRPr="00CC4312">
        <w:rPr>
          <w:rFonts w:asciiTheme="minorHAnsi" w:eastAsiaTheme="minorHAnsi" w:hAnsiTheme="minorHAnsi" w:cstheme="minorHAnsi"/>
          <w:color w:val="000000" w:themeColor="text1"/>
          <w:kern w:val="2"/>
          <w:lang w:val="en-US" w:eastAsia="en-US"/>
          <w14:ligatures w14:val="standardContextual"/>
        </w:rPr>
        <w:t xml:space="preserve"> Testers.</w:t>
      </w:r>
    </w:p>
    <w:p w14:paraId="086D71B5" w14:textId="77777777" w:rsidR="00CC4312" w:rsidRPr="00CC4312" w:rsidRDefault="00CC4312" w:rsidP="00CC4312">
      <w:pPr>
        <w:spacing w:after="160" w:line="259" w:lineRule="auto"/>
        <w:jc w:val="both"/>
        <w:rPr>
          <w:rFonts w:asciiTheme="minorHAnsi" w:eastAsiaTheme="minorHAnsi" w:hAnsiTheme="minorHAnsi" w:cstheme="minorHAnsi"/>
          <w:color w:val="000000" w:themeColor="text1"/>
          <w:kern w:val="2"/>
          <w:lang w:val="en-US" w:eastAsia="en-US"/>
          <w14:ligatures w14:val="standardContextual"/>
        </w:rPr>
      </w:pPr>
    </w:p>
    <w:p w14:paraId="69AFD6F0" w14:textId="691A9CA5" w:rsidR="00CC4312" w:rsidRPr="00CC4312" w:rsidRDefault="00CC4312" w:rsidP="00CC4312">
      <w:pPr>
        <w:spacing w:after="160" w:line="259" w:lineRule="auto"/>
        <w:jc w:val="both"/>
        <w:rPr>
          <w:rFonts w:asciiTheme="minorHAnsi" w:eastAsiaTheme="minorHAnsi" w:hAnsiTheme="minorHAnsi" w:cstheme="minorHAnsi"/>
          <w:b/>
          <w:bCs/>
          <w:kern w:val="2"/>
          <w:lang w:val="en-US" w:eastAsia="en-US"/>
          <w14:ligatures w14:val="standardContextual"/>
        </w:rPr>
      </w:pPr>
      <w:bookmarkStart w:id="4" w:name="_Hlk139723325"/>
      <w:r w:rsidRPr="00CC4312">
        <w:rPr>
          <w:rFonts w:asciiTheme="minorHAnsi" w:eastAsiaTheme="minorHAnsi" w:hAnsiTheme="minorHAnsi" w:cstheme="minorHAnsi"/>
          <w:b/>
          <w:bCs/>
          <w:kern w:val="2"/>
          <w:lang w:val="en-US" w:eastAsia="en-US"/>
          <w14:ligatures w14:val="standardContextual"/>
        </w:rPr>
        <w:t>Spreader Company</w:t>
      </w:r>
      <w:r w:rsidR="00366ADE">
        <w:rPr>
          <w:rFonts w:asciiTheme="minorHAnsi" w:eastAsiaTheme="minorHAnsi" w:hAnsiTheme="minorHAnsi" w:cstheme="minorHAnsi"/>
          <w:b/>
          <w:bCs/>
          <w:kern w:val="2"/>
          <w:lang w:val="en-US" w:eastAsia="en-US"/>
          <w14:ligatures w14:val="standardContextual"/>
        </w:rPr>
        <w:t>/Operator</w:t>
      </w:r>
      <w:r w:rsidRPr="00CC4312">
        <w:rPr>
          <w:rFonts w:asciiTheme="minorHAnsi" w:eastAsiaTheme="minorHAnsi" w:hAnsiTheme="minorHAnsi" w:cstheme="minorHAnsi"/>
          <w:b/>
          <w:bCs/>
          <w:kern w:val="2"/>
          <w:lang w:val="en-US" w:eastAsia="en-US"/>
          <w14:ligatures w14:val="standardContextual"/>
        </w:rPr>
        <w:t xml:space="preserve"> Contacts</w:t>
      </w:r>
    </w:p>
    <w:bookmarkEnd w:id="4"/>
    <w:p w14:paraId="19D59925" w14:textId="45D80657" w:rsidR="00CC4312" w:rsidRPr="00CC4312" w:rsidRDefault="00CC4312" w:rsidP="00CC4312">
      <w:pPr>
        <w:numPr>
          <w:ilvl w:val="0"/>
          <w:numId w:val="33"/>
        </w:numPr>
        <w:spacing w:after="160" w:line="259" w:lineRule="auto"/>
        <w:ind w:left="360"/>
        <w:contextualSpacing/>
        <w:jc w:val="both"/>
        <w:rPr>
          <w:rFonts w:asciiTheme="minorHAnsi" w:eastAsiaTheme="minorHAnsi" w:hAnsiTheme="minorHAnsi" w:cstheme="minorHAnsi"/>
          <w:color w:val="000000" w:themeColor="text1"/>
          <w:kern w:val="2"/>
          <w:lang w:val="en-US" w:eastAsia="en-US"/>
          <w14:ligatures w14:val="standardContextual"/>
        </w:rPr>
      </w:pPr>
      <w:r w:rsidRPr="00CC4312">
        <w:rPr>
          <w:rFonts w:asciiTheme="minorHAnsi" w:eastAsiaTheme="minorHAnsi" w:hAnsiTheme="minorHAnsi" w:cstheme="minorHAnsi"/>
          <w:color w:val="000000" w:themeColor="text1"/>
          <w:kern w:val="2"/>
          <w:lang w:val="en-US" w:eastAsia="en-US"/>
          <w14:ligatures w14:val="standardContextual"/>
        </w:rPr>
        <w:t xml:space="preserve">The Executive Director shall make available the list of Spreadmark Approved Spreading </w:t>
      </w:r>
      <w:r w:rsidR="0005595B">
        <w:rPr>
          <w:rFonts w:asciiTheme="minorHAnsi" w:eastAsiaTheme="minorHAnsi" w:hAnsiTheme="minorHAnsi" w:cstheme="minorHAnsi"/>
          <w:color w:val="000000" w:themeColor="text1"/>
          <w:kern w:val="2"/>
          <w:lang w:val="en-US" w:eastAsia="en-US"/>
          <w14:ligatures w14:val="standardContextual"/>
        </w:rPr>
        <w:t>Uni</w:t>
      </w:r>
      <w:r w:rsidRPr="00CC4312">
        <w:rPr>
          <w:rFonts w:asciiTheme="minorHAnsi" w:eastAsiaTheme="minorHAnsi" w:hAnsiTheme="minorHAnsi" w:cstheme="minorHAnsi"/>
          <w:color w:val="000000" w:themeColor="text1"/>
          <w:kern w:val="2"/>
          <w:lang w:val="en-US" w:eastAsia="en-US"/>
          <w14:ligatures w14:val="standardContextual"/>
        </w:rPr>
        <w:t xml:space="preserve">t Testers to all Spreadmark registered companies and to spreading companies that have applied to the Executive Director for Spreadmark </w:t>
      </w:r>
      <w:r w:rsidR="0054329C">
        <w:rPr>
          <w:rFonts w:asciiTheme="minorHAnsi" w:eastAsiaTheme="minorHAnsi" w:hAnsiTheme="minorHAnsi" w:cstheme="minorHAnsi"/>
          <w:color w:val="000000" w:themeColor="text1"/>
          <w:kern w:val="2"/>
          <w:lang w:val="en-US" w:eastAsia="en-US"/>
          <w14:ligatures w14:val="standardContextual"/>
        </w:rPr>
        <w:t>certification</w:t>
      </w:r>
      <w:r w:rsidRPr="00CC4312">
        <w:rPr>
          <w:rFonts w:asciiTheme="minorHAnsi" w:eastAsiaTheme="minorHAnsi" w:hAnsiTheme="minorHAnsi" w:cstheme="minorHAnsi"/>
          <w:color w:val="000000" w:themeColor="text1"/>
          <w:kern w:val="2"/>
          <w:lang w:val="en-US" w:eastAsia="en-US"/>
          <w14:ligatures w14:val="standardContextual"/>
        </w:rPr>
        <w:t xml:space="preserve">. All Spreadmark Approved Spreading </w:t>
      </w:r>
      <w:r w:rsidR="00BC62E4">
        <w:rPr>
          <w:rFonts w:asciiTheme="minorHAnsi" w:eastAsiaTheme="minorHAnsi" w:hAnsiTheme="minorHAnsi" w:cstheme="minorHAnsi"/>
          <w:color w:val="000000" w:themeColor="text1"/>
          <w:kern w:val="2"/>
          <w:lang w:val="en-US" w:eastAsia="en-US"/>
          <w14:ligatures w14:val="standardContextual"/>
        </w:rPr>
        <w:t>Uni</w:t>
      </w:r>
      <w:r w:rsidRPr="00CC4312">
        <w:rPr>
          <w:rFonts w:asciiTheme="minorHAnsi" w:eastAsiaTheme="minorHAnsi" w:hAnsiTheme="minorHAnsi" w:cstheme="minorHAnsi"/>
          <w:color w:val="000000" w:themeColor="text1"/>
          <w:kern w:val="2"/>
          <w:lang w:val="en-US" w:eastAsia="en-US"/>
          <w14:ligatures w14:val="standardContextual"/>
        </w:rPr>
        <w:t xml:space="preserve">t Testers shall offer Spreadmark testing services to all Spreadmark registered companies or companies seeking Spreadmark </w:t>
      </w:r>
      <w:r w:rsidR="0043134C">
        <w:rPr>
          <w:rFonts w:asciiTheme="minorHAnsi" w:eastAsiaTheme="minorHAnsi" w:hAnsiTheme="minorHAnsi" w:cstheme="minorHAnsi"/>
          <w:color w:val="000000" w:themeColor="text1"/>
          <w:kern w:val="2"/>
          <w:lang w:val="en-US" w:eastAsia="en-US"/>
          <w14:ligatures w14:val="standardContextual"/>
        </w:rPr>
        <w:t>certification</w:t>
      </w:r>
      <w:r w:rsidRPr="00CC4312">
        <w:rPr>
          <w:rFonts w:asciiTheme="minorHAnsi" w:eastAsiaTheme="minorHAnsi" w:hAnsiTheme="minorHAnsi" w:cstheme="minorHAnsi"/>
          <w:color w:val="000000" w:themeColor="text1"/>
          <w:kern w:val="2"/>
          <w:lang w:val="en-US" w:eastAsia="en-US"/>
          <w14:ligatures w14:val="standardContextual"/>
        </w:rPr>
        <w:t>.</w:t>
      </w:r>
    </w:p>
    <w:p w14:paraId="3260DFC2" w14:textId="77777777" w:rsidR="00CC4312" w:rsidRPr="00CC4312" w:rsidRDefault="00CC4312" w:rsidP="00CC4312">
      <w:pPr>
        <w:spacing w:after="160" w:line="259" w:lineRule="auto"/>
        <w:jc w:val="both"/>
        <w:rPr>
          <w:rFonts w:asciiTheme="minorHAnsi" w:eastAsiaTheme="minorHAnsi" w:hAnsiTheme="minorHAnsi" w:cstheme="minorHAnsi"/>
          <w:color w:val="000000" w:themeColor="text1"/>
          <w:kern w:val="2"/>
          <w:lang w:val="en-US" w:eastAsia="en-US"/>
          <w14:ligatures w14:val="standardContextual"/>
        </w:rPr>
      </w:pPr>
    </w:p>
    <w:p w14:paraId="4974DB9C" w14:textId="09936097" w:rsidR="00CC4312" w:rsidRPr="00CC4312" w:rsidRDefault="00CC4312" w:rsidP="00CC4312">
      <w:pPr>
        <w:numPr>
          <w:ilvl w:val="0"/>
          <w:numId w:val="33"/>
        </w:numPr>
        <w:spacing w:after="160" w:line="259" w:lineRule="auto"/>
        <w:ind w:left="360"/>
        <w:contextualSpacing/>
        <w:jc w:val="both"/>
        <w:rPr>
          <w:rFonts w:asciiTheme="minorHAnsi" w:eastAsiaTheme="minorHAnsi" w:hAnsiTheme="minorHAnsi" w:cstheme="minorHAnsi"/>
          <w:color w:val="000000" w:themeColor="text1"/>
          <w:kern w:val="2"/>
          <w:lang w:val="en-US" w:eastAsia="en-US"/>
          <w14:ligatures w14:val="standardContextual"/>
        </w:rPr>
      </w:pPr>
      <w:r w:rsidRPr="00CC4312">
        <w:rPr>
          <w:rFonts w:asciiTheme="minorHAnsi" w:eastAsiaTheme="minorHAnsi" w:hAnsiTheme="minorHAnsi" w:cstheme="minorHAnsi"/>
          <w:color w:val="000000" w:themeColor="text1"/>
          <w:kern w:val="2"/>
          <w:lang w:val="en-US" w:eastAsia="en-US"/>
          <w14:ligatures w14:val="standardContextual"/>
        </w:rPr>
        <w:t xml:space="preserve">Spreadmark registered companies </w:t>
      </w:r>
      <w:r w:rsidR="00E62B09">
        <w:rPr>
          <w:rFonts w:asciiTheme="minorHAnsi" w:eastAsiaTheme="minorHAnsi" w:hAnsiTheme="minorHAnsi" w:cstheme="minorHAnsi"/>
          <w:color w:val="000000" w:themeColor="text1"/>
          <w:kern w:val="2"/>
          <w:lang w:val="en-US" w:eastAsia="en-US"/>
          <w14:ligatures w14:val="standardContextual"/>
        </w:rPr>
        <w:t xml:space="preserve">or </w:t>
      </w:r>
      <w:r w:rsidR="00275CE6">
        <w:rPr>
          <w:rFonts w:asciiTheme="minorHAnsi" w:eastAsiaTheme="minorHAnsi" w:hAnsiTheme="minorHAnsi" w:cstheme="minorHAnsi"/>
          <w:color w:val="000000" w:themeColor="text1"/>
          <w:kern w:val="2"/>
          <w:lang w:val="en-US" w:eastAsia="en-US"/>
          <w14:ligatures w14:val="standardContextual"/>
        </w:rPr>
        <w:t>applicants</w:t>
      </w:r>
      <w:r w:rsidR="00E62B09">
        <w:rPr>
          <w:rFonts w:asciiTheme="minorHAnsi" w:eastAsiaTheme="minorHAnsi" w:hAnsiTheme="minorHAnsi" w:cstheme="minorHAnsi"/>
          <w:color w:val="000000" w:themeColor="text1"/>
          <w:kern w:val="2"/>
          <w:lang w:val="en-US" w:eastAsia="en-US"/>
          <w14:ligatures w14:val="standardContextual"/>
        </w:rPr>
        <w:t xml:space="preserve"> for </w:t>
      </w:r>
      <w:r w:rsidR="006775A6">
        <w:rPr>
          <w:rFonts w:asciiTheme="minorHAnsi" w:eastAsiaTheme="minorHAnsi" w:hAnsiTheme="minorHAnsi" w:cstheme="minorHAnsi"/>
          <w:color w:val="000000" w:themeColor="text1"/>
          <w:kern w:val="2"/>
          <w:lang w:val="en-US" w:eastAsia="en-US"/>
          <w14:ligatures w14:val="standardContextual"/>
        </w:rPr>
        <w:t xml:space="preserve">Spreadmark </w:t>
      </w:r>
      <w:r w:rsidR="0043134C">
        <w:rPr>
          <w:rFonts w:asciiTheme="minorHAnsi" w:eastAsiaTheme="minorHAnsi" w:hAnsiTheme="minorHAnsi" w:cstheme="minorHAnsi"/>
          <w:color w:val="000000" w:themeColor="text1"/>
          <w:kern w:val="2"/>
          <w:lang w:val="en-US" w:eastAsia="en-US"/>
          <w14:ligatures w14:val="standardContextual"/>
        </w:rPr>
        <w:t>Certific</w:t>
      </w:r>
      <w:r w:rsidR="006775A6">
        <w:rPr>
          <w:rFonts w:asciiTheme="minorHAnsi" w:eastAsiaTheme="minorHAnsi" w:hAnsiTheme="minorHAnsi" w:cstheme="minorHAnsi"/>
          <w:color w:val="000000" w:themeColor="text1"/>
          <w:kern w:val="2"/>
          <w:lang w:val="en-US" w:eastAsia="en-US"/>
          <w14:ligatures w14:val="standardContextual"/>
        </w:rPr>
        <w:t xml:space="preserve">ation </w:t>
      </w:r>
      <w:r w:rsidRPr="00CC4312">
        <w:rPr>
          <w:rFonts w:asciiTheme="minorHAnsi" w:eastAsiaTheme="minorHAnsi" w:hAnsiTheme="minorHAnsi" w:cstheme="minorHAnsi"/>
          <w:color w:val="000000" w:themeColor="text1"/>
          <w:kern w:val="2"/>
          <w:lang w:val="en-US" w:eastAsia="en-US"/>
          <w14:ligatures w14:val="standardContextual"/>
        </w:rPr>
        <w:t xml:space="preserve">may select the services of any Spreadmark Approved Spreading </w:t>
      </w:r>
      <w:r w:rsidR="00BC62E4">
        <w:rPr>
          <w:rFonts w:asciiTheme="minorHAnsi" w:eastAsiaTheme="minorHAnsi" w:hAnsiTheme="minorHAnsi" w:cstheme="minorHAnsi"/>
          <w:color w:val="000000" w:themeColor="text1"/>
          <w:kern w:val="2"/>
          <w:lang w:val="en-US" w:eastAsia="en-US"/>
          <w14:ligatures w14:val="standardContextual"/>
        </w:rPr>
        <w:t>Uni</w:t>
      </w:r>
      <w:r w:rsidRPr="00CC4312">
        <w:rPr>
          <w:rFonts w:asciiTheme="minorHAnsi" w:eastAsiaTheme="minorHAnsi" w:hAnsiTheme="minorHAnsi" w:cstheme="minorHAnsi"/>
          <w:color w:val="000000" w:themeColor="text1"/>
          <w:kern w:val="2"/>
          <w:lang w:val="en-US" w:eastAsia="en-US"/>
          <w14:ligatures w14:val="standardContextual"/>
        </w:rPr>
        <w:t>t Tester at a testing fee to be fixed between the parties.</w:t>
      </w:r>
    </w:p>
    <w:p w14:paraId="007804C9" w14:textId="7B3B1690" w:rsidR="00CC4312" w:rsidRPr="00CC4312" w:rsidRDefault="00CC4312" w:rsidP="00CC4312">
      <w:pPr>
        <w:spacing w:after="160" w:line="259" w:lineRule="auto"/>
        <w:jc w:val="both"/>
        <w:rPr>
          <w:rFonts w:asciiTheme="minorHAnsi" w:eastAsiaTheme="minorHAnsi" w:hAnsiTheme="minorHAnsi" w:cstheme="minorHAnsi"/>
          <w:b/>
          <w:bCs/>
          <w:kern w:val="2"/>
          <w:lang w:val="en-US" w:eastAsia="en-US"/>
          <w14:ligatures w14:val="standardContextual"/>
        </w:rPr>
      </w:pPr>
    </w:p>
    <w:p w14:paraId="175C429A" w14:textId="5A10B91D" w:rsidR="00CC4312" w:rsidRPr="00CC4312" w:rsidRDefault="00CC4312" w:rsidP="00CC4312">
      <w:pPr>
        <w:spacing w:after="160" w:line="259" w:lineRule="auto"/>
        <w:jc w:val="both"/>
        <w:rPr>
          <w:rFonts w:asciiTheme="minorHAnsi" w:eastAsiaTheme="minorHAnsi" w:hAnsiTheme="minorHAnsi" w:cstheme="minorHAnsi"/>
          <w:b/>
          <w:bCs/>
          <w:kern w:val="2"/>
          <w:lang w:val="en-US" w:eastAsia="en-US"/>
          <w14:ligatures w14:val="standardContextual"/>
        </w:rPr>
      </w:pPr>
      <w:r w:rsidRPr="00CC4312">
        <w:rPr>
          <w:rFonts w:asciiTheme="minorHAnsi" w:eastAsiaTheme="minorHAnsi" w:hAnsiTheme="minorHAnsi" w:cstheme="minorHAnsi"/>
          <w:b/>
          <w:bCs/>
          <w:kern w:val="2"/>
          <w:lang w:val="en-US" w:eastAsia="en-US"/>
          <w14:ligatures w14:val="standardContextual"/>
        </w:rPr>
        <w:t xml:space="preserve">Spreadmark Spreading </w:t>
      </w:r>
      <w:r w:rsidR="00813C74">
        <w:rPr>
          <w:rFonts w:asciiTheme="minorHAnsi" w:eastAsiaTheme="minorHAnsi" w:hAnsiTheme="minorHAnsi" w:cstheme="minorHAnsi"/>
          <w:b/>
          <w:bCs/>
          <w:kern w:val="2"/>
          <w:lang w:val="en-US" w:eastAsia="en-US"/>
          <w14:ligatures w14:val="standardContextual"/>
        </w:rPr>
        <w:t>Unit</w:t>
      </w:r>
      <w:r w:rsidRPr="00CC4312">
        <w:rPr>
          <w:rFonts w:asciiTheme="minorHAnsi" w:eastAsiaTheme="minorHAnsi" w:hAnsiTheme="minorHAnsi" w:cstheme="minorHAnsi"/>
          <w:b/>
          <w:bCs/>
          <w:kern w:val="2"/>
          <w:lang w:val="en-US" w:eastAsia="en-US"/>
          <w14:ligatures w14:val="standardContextual"/>
        </w:rPr>
        <w:t xml:space="preserve"> Testing</w:t>
      </w:r>
    </w:p>
    <w:p w14:paraId="4973CE89" w14:textId="6FDFAF62" w:rsidR="00CC4312" w:rsidRPr="00CC4312" w:rsidRDefault="00CC4312" w:rsidP="006A1F74">
      <w:pPr>
        <w:numPr>
          <w:ilvl w:val="0"/>
          <w:numId w:val="34"/>
        </w:numPr>
        <w:spacing w:after="160" w:line="259" w:lineRule="auto"/>
        <w:ind w:left="360"/>
        <w:contextualSpacing/>
        <w:jc w:val="both"/>
        <w:rPr>
          <w:rFonts w:asciiTheme="minorHAnsi" w:eastAsiaTheme="minorHAnsi" w:hAnsiTheme="minorHAnsi" w:cstheme="minorHAnsi"/>
          <w:kern w:val="2"/>
          <w:lang w:val="en-US" w:eastAsia="en-US"/>
          <w14:ligatures w14:val="standardContextual"/>
        </w:rPr>
      </w:pPr>
      <w:r w:rsidRPr="00CC4312">
        <w:rPr>
          <w:rFonts w:asciiTheme="minorHAnsi" w:eastAsiaTheme="minorHAnsi" w:hAnsiTheme="minorHAnsi" w:cstheme="minorHAnsi"/>
          <w:kern w:val="2"/>
          <w:lang w:val="en-US" w:eastAsia="en-US"/>
          <w14:ligatures w14:val="standardContextual"/>
        </w:rPr>
        <w:t xml:space="preserve">All testing done by Spreadmark Approved Spreading </w:t>
      </w:r>
      <w:r w:rsidR="00813C74">
        <w:rPr>
          <w:rFonts w:asciiTheme="minorHAnsi" w:eastAsiaTheme="minorHAnsi" w:hAnsiTheme="minorHAnsi" w:cstheme="minorHAnsi"/>
          <w:kern w:val="2"/>
          <w:lang w:val="en-US" w:eastAsia="en-US"/>
          <w14:ligatures w14:val="standardContextual"/>
        </w:rPr>
        <w:t>Unit</w:t>
      </w:r>
      <w:r w:rsidRPr="00CC4312">
        <w:rPr>
          <w:rFonts w:asciiTheme="minorHAnsi" w:eastAsiaTheme="minorHAnsi" w:hAnsiTheme="minorHAnsi" w:cstheme="minorHAnsi"/>
          <w:kern w:val="2"/>
          <w:lang w:val="en-US" w:eastAsia="en-US"/>
          <w14:ligatures w14:val="standardContextual"/>
        </w:rPr>
        <w:t xml:space="preserve"> Testers for Spreadmark purposes </w:t>
      </w:r>
      <w:r w:rsidR="000A0287">
        <w:rPr>
          <w:rFonts w:asciiTheme="minorHAnsi" w:eastAsiaTheme="minorHAnsi" w:hAnsiTheme="minorHAnsi" w:cstheme="minorHAnsi"/>
          <w:kern w:val="2"/>
          <w:lang w:val="en-US" w:eastAsia="en-US"/>
          <w14:ligatures w14:val="standardContextual"/>
        </w:rPr>
        <w:t>shall</w:t>
      </w:r>
      <w:r w:rsidRPr="00CC4312">
        <w:rPr>
          <w:rFonts w:asciiTheme="minorHAnsi" w:eastAsiaTheme="minorHAnsi" w:hAnsiTheme="minorHAnsi" w:cstheme="minorHAnsi"/>
          <w:kern w:val="2"/>
          <w:lang w:val="en-US" w:eastAsia="en-US"/>
          <w14:ligatures w14:val="standardContextual"/>
        </w:rPr>
        <w:t xml:space="preserve"> be done in accordance with the current Spreadmark Code of Practice test standard.</w:t>
      </w:r>
    </w:p>
    <w:p w14:paraId="46F3C5B9" w14:textId="77777777" w:rsidR="00CC4312" w:rsidRPr="00CC4312" w:rsidRDefault="00CC4312" w:rsidP="006A1F74">
      <w:pPr>
        <w:spacing w:after="160" w:line="259" w:lineRule="auto"/>
        <w:ind w:left="360"/>
        <w:contextualSpacing/>
        <w:jc w:val="both"/>
        <w:rPr>
          <w:rFonts w:asciiTheme="minorHAnsi" w:eastAsiaTheme="minorHAnsi" w:hAnsiTheme="minorHAnsi" w:cstheme="minorHAnsi"/>
          <w:i/>
          <w:iCs/>
          <w:color w:val="538135" w:themeColor="accent6" w:themeShade="BF"/>
          <w:kern w:val="2"/>
          <w:lang w:val="en-US" w:eastAsia="en-US"/>
          <w14:ligatures w14:val="standardContextual"/>
        </w:rPr>
      </w:pPr>
    </w:p>
    <w:p w14:paraId="10F52459" w14:textId="63880A0D" w:rsidR="00CC4312" w:rsidRDefault="00CC4312" w:rsidP="006A1F74">
      <w:pPr>
        <w:numPr>
          <w:ilvl w:val="0"/>
          <w:numId w:val="34"/>
        </w:numPr>
        <w:spacing w:after="160" w:line="259" w:lineRule="auto"/>
        <w:ind w:left="360"/>
        <w:contextualSpacing/>
        <w:jc w:val="both"/>
        <w:rPr>
          <w:rFonts w:asciiTheme="minorHAnsi" w:eastAsiaTheme="minorHAnsi" w:hAnsiTheme="minorHAnsi" w:cstheme="minorHAnsi"/>
          <w:kern w:val="2"/>
          <w:lang w:val="en-US" w:eastAsia="en-US"/>
          <w14:ligatures w14:val="standardContextual"/>
        </w:rPr>
      </w:pPr>
      <w:r w:rsidRPr="00CC4312">
        <w:rPr>
          <w:rFonts w:asciiTheme="minorHAnsi" w:eastAsiaTheme="minorHAnsi" w:hAnsiTheme="minorHAnsi" w:cstheme="minorHAnsi"/>
          <w:kern w:val="2"/>
          <w:lang w:val="en-US" w:eastAsia="en-US"/>
          <w14:ligatures w14:val="standardContextual"/>
        </w:rPr>
        <w:t xml:space="preserve">All Spreadmark Spreader Performance Certificates </w:t>
      </w:r>
      <w:r w:rsidR="00236398">
        <w:rPr>
          <w:rFonts w:asciiTheme="minorHAnsi" w:eastAsiaTheme="minorHAnsi" w:hAnsiTheme="minorHAnsi" w:cstheme="minorHAnsi"/>
          <w:kern w:val="2"/>
          <w:lang w:val="en-US" w:eastAsia="en-US"/>
          <w14:ligatures w14:val="standardContextual"/>
        </w:rPr>
        <w:t>shall</w:t>
      </w:r>
      <w:r w:rsidRPr="00CC4312">
        <w:rPr>
          <w:rFonts w:asciiTheme="minorHAnsi" w:eastAsiaTheme="minorHAnsi" w:hAnsiTheme="minorHAnsi" w:cstheme="minorHAnsi"/>
          <w:kern w:val="2"/>
          <w:lang w:val="en-US" w:eastAsia="en-US"/>
          <w14:ligatures w14:val="standardContextual"/>
        </w:rPr>
        <w:t xml:space="preserve"> be o</w:t>
      </w:r>
      <w:r w:rsidR="0062673E">
        <w:rPr>
          <w:rFonts w:asciiTheme="minorHAnsi" w:eastAsiaTheme="minorHAnsi" w:hAnsiTheme="minorHAnsi" w:cstheme="minorHAnsi"/>
          <w:kern w:val="2"/>
          <w:lang w:val="en-US" w:eastAsia="en-US"/>
          <w14:ligatures w14:val="standardContextual"/>
        </w:rPr>
        <w:t>n</w:t>
      </w:r>
      <w:r w:rsidRPr="00CC4312">
        <w:rPr>
          <w:rFonts w:asciiTheme="minorHAnsi" w:eastAsiaTheme="minorHAnsi" w:hAnsiTheme="minorHAnsi" w:cstheme="minorHAnsi"/>
          <w:kern w:val="2"/>
          <w:lang w:val="en-US" w:eastAsia="en-US"/>
          <w14:ligatures w14:val="standardContextual"/>
        </w:rPr>
        <w:t xml:space="preserve"> a form approved by the Spreadmark Executive Director.</w:t>
      </w:r>
    </w:p>
    <w:p w14:paraId="0B3F0ABA" w14:textId="77777777" w:rsidR="00096C9C" w:rsidRPr="00CC4312" w:rsidRDefault="00096C9C" w:rsidP="00096C9C">
      <w:pPr>
        <w:spacing w:after="160" w:line="259" w:lineRule="auto"/>
        <w:contextualSpacing/>
        <w:jc w:val="both"/>
        <w:rPr>
          <w:rFonts w:asciiTheme="minorHAnsi" w:eastAsiaTheme="minorHAnsi" w:hAnsiTheme="minorHAnsi" w:cstheme="minorHAnsi"/>
          <w:kern w:val="2"/>
          <w:lang w:val="en-US" w:eastAsia="en-US"/>
          <w14:ligatures w14:val="standardContextual"/>
        </w:rPr>
      </w:pPr>
    </w:p>
    <w:p w14:paraId="27803184" w14:textId="2042FE23" w:rsidR="00CC4312" w:rsidRDefault="00CC4312" w:rsidP="006A1F74">
      <w:pPr>
        <w:numPr>
          <w:ilvl w:val="0"/>
          <w:numId w:val="34"/>
        </w:numPr>
        <w:spacing w:after="160" w:line="259" w:lineRule="auto"/>
        <w:ind w:left="360"/>
        <w:contextualSpacing/>
        <w:jc w:val="both"/>
        <w:rPr>
          <w:rFonts w:asciiTheme="minorHAnsi" w:eastAsiaTheme="minorHAnsi" w:hAnsiTheme="minorHAnsi" w:cstheme="minorHAnsi"/>
          <w:kern w:val="2"/>
          <w:lang w:val="en-US" w:eastAsia="en-US"/>
          <w14:ligatures w14:val="standardContextual"/>
        </w:rPr>
      </w:pPr>
      <w:r w:rsidRPr="00CC4312">
        <w:rPr>
          <w:rFonts w:asciiTheme="minorHAnsi" w:eastAsiaTheme="minorHAnsi" w:hAnsiTheme="minorHAnsi" w:cstheme="minorHAnsi"/>
          <w:kern w:val="2"/>
          <w:lang w:val="en-US" w:eastAsia="en-US"/>
          <w14:ligatures w14:val="standardContextual"/>
        </w:rPr>
        <w:t xml:space="preserve">Spreadmark Approved Spreading </w:t>
      </w:r>
      <w:r w:rsidR="00813C74">
        <w:rPr>
          <w:rFonts w:asciiTheme="minorHAnsi" w:eastAsiaTheme="minorHAnsi" w:hAnsiTheme="minorHAnsi" w:cstheme="minorHAnsi"/>
          <w:kern w:val="2"/>
          <w:lang w:val="en-US" w:eastAsia="en-US"/>
          <w14:ligatures w14:val="standardContextual"/>
        </w:rPr>
        <w:t>Unit</w:t>
      </w:r>
      <w:r w:rsidRPr="00CC4312">
        <w:rPr>
          <w:rFonts w:asciiTheme="minorHAnsi" w:eastAsiaTheme="minorHAnsi" w:hAnsiTheme="minorHAnsi" w:cstheme="minorHAnsi"/>
          <w:kern w:val="2"/>
          <w:lang w:val="en-US" w:eastAsia="en-US"/>
          <w14:ligatures w14:val="standardContextual"/>
        </w:rPr>
        <w:t xml:space="preserve"> Testers </w:t>
      </w:r>
      <w:r w:rsidR="00236398">
        <w:rPr>
          <w:rFonts w:asciiTheme="minorHAnsi" w:eastAsiaTheme="minorHAnsi" w:hAnsiTheme="minorHAnsi" w:cstheme="minorHAnsi"/>
          <w:kern w:val="2"/>
          <w:lang w:val="en-US" w:eastAsia="en-US"/>
          <w14:ligatures w14:val="standardContextual"/>
        </w:rPr>
        <w:t>shall</w:t>
      </w:r>
      <w:r w:rsidRPr="00CC4312">
        <w:rPr>
          <w:rFonts w:asciiTheme="minorHAnsi" w:eastAsiaTheme="minorHAnsi" w:hAnsiTheme="minorHAnsi" w:cstheme="minorHAnsi"/>
          <w:kern w:val="2"/>
          <w:lang w:val="en-US" w:eastAsia="en-US"/>
          <w14:ligatures w14:val="standardContextual"/>
        </w:rPr>
        <w:t xml:space="preserve"> only generate certificates with the Spreadmark name or logo on them for nutrient spreading companies which hold, or which have applied to hold Spreadmark company </w:t>
      </w:r>
      <w:r w:rsidR="0043134C">
        <w:rPr>
          <w:rFonts w:asciiTheme="minorHAnsi" w:eastAsiaTheme="minorHAnsi" w:hAnsiTheme="minorHAnsi" w:cstheme="minorHAnsi"/>
          <w:kern w:val="2"/>
          <w:lang w:val="en-US" w:eastAsia="en-US"/>
          <w14:ligatures w14:val="standardContextual"/>
        </w:rPr>
        <w:t>certification</w:t>
      </w:r>
      <w:r w:rsidRPr="00CC4312">
        <w:rPr>
          <w:rFonts w:asciiTheme="minorHAnsi" w:eastAsiaTheme="minorHAnsi" w:hAnsiTheme="minorHAnsi" w:cstheme="minorHAnsi"/>
          <w:kern w:val="2"/>
          <w:lang w:val="en-US" w:eastAsia="en-US"/>
          <w14:ligatures w14:val="standardContextual"/>
        </w:rPr>
        <w:t>.</w:t>
      </w:r>
    </w:p>
    <w:p w14:paraId="775C89EB" w14:textId="77777777" w:rsidR="00096C9C" w:rsidRPr="00CC4312" w:rsidRDefault="00096C9C" w:rsidP="00096C9C">
      <w:pPr>
        <w:spacing w:after="160" w:line="259" w:lineRule="auto"/>
        <w:contextualSpacing/>
        <w:jc w:val="both"/>
        <w:rPr>
          <w:rFonts w:asciiTheme="minorHAnsi" w:eastAsiaTheme="minorHAnsi" w:hAnsiTheme="minorHAnsi" w:cstheme="minorHAnsi"/>
          <w:kern w:val="2"/>
          <w:lang w:val="en-US" w:eastAsia="en-US"/>
          <w14:ligatures w14:val="standardContextual"/>
        </w:rPr>
      </w:pPr>
    </w:p>
    <w:p w14:paraId="7BF85DDB" w14:textId="451C4EAB" w:rsidR="00CC4312" w:rsidRDefault="00CC4312" w:rsidP="006A1F74">
      <w:pPr>
        <w:numPr>
          <w:ilvl w:val="0"/>
          <w:numId w:val="34"/>
        </w:numPr>
        <w:spacing w:after="160" w:line="259" w:lineRule="auto"/>
        <w:ind w:left="360"/>
        <w:contextualSpacing/>
        <w:jc w:val="both"/>
        <w:rPr>
          <w:rFonts w:asciiTheme="minorHAnsi" w:eastAsiaTheme="minorHAnsi" w:hAnsiTheme="minorHAnsi" w:cstheme="minorHAnsi"/>
          <w:kern w:val="2"/>
          <w:lang w:val="en-US" w:eastAsia="en-US"/>
          <w14:ligatures w14:val="standardContextual"/>
        </w:rPr>
      </w:pPr>
      <w:r w:rsidRPr="00CC4312">
        <w:rPr>
          <w:rFonts w:asciiTheme="minorHAnsi" w:eastAsiaTheme="minorHAnsi" w:hAnsiTheme="minorHAnsi" w:cstheme="minorHAnsi"/>
          <w:kern w:val="2"/>
          <w:lang w:val="en-US" w:eastAsia="en-US"/>
          <w14:ligatures w14:val="standardContextual"/>
        </w:rPr>
        <w:t xml:space="preserve">Spreadmark Approved Spreading </w:t>
      </w:r>
      <w:r w:rsidR="003736B2">
        <w:rPr>
          <w:rFonts w:asciiTheme="minorHAnsi" w:eastAsiaTheme="minorHAnsi" w:hAnsiTheme="minorHAnsi" w:cstheme="minorHAnsi"/>
          <w:kern w:val="2"/>
          <w:lang w:val="en-US" w:eastAsia="en-US"/>
          <w14:ligatures w14:val="standardContextual"/>
        </w:rPr>
        <w:t>Uni</w:t>
      </w:r>
      <w:r w:rsidRPr="00CC4312">
        <w:rPr>
          <w:rFonts w:asciiTheme="minorHAnsi" w:eastAsiaTheme="minorHAnsi" w:hAnsiTheme="minorHAnsi" w:cstheme="minorHAnsi"/>
          <w:kern w:val="2"/>
          <w:lang w:val="en-US" w:eastAsia="en-US"/>
          <w14:ligatures w14:val="standardContextual"/>
        </w:rPr>
        <w:t xml:space="preserve">t Testers </w:t>
      </w:r>
      <w:r w:rsidR="00236398">
        <w:rPr>
          <w:rFonts w:asciiTheme="minorHAnsi" w:eastAsiaTheme="minorHAnsi" w:hAnsiTheme="minorHAnsi" w:cstheme="minorHAnsi"/>
          <w:kern w:val="2"/>
          <w:lang w:val="en-US" w:eastAsia="en-US"/>
          <w14:ligatures w14:val="standardContextual"/>
        </w:rPr>
        <w:t>shall</w:t>
      </w:r>
      <w:r w:rsidRPr="00CC4312">
        <w:rPr>
          <w:rFonts w:asciiTheme="minorHAnsi" w:eastAsiaTheme="minorHAnsi" w:hAnsiTheme="minorHAnsi" w:cstheme="minorHAnsi"/>
          <w:kern w:val="2"/>
          <w:lang w:val="en-US" w:eastAsia="en-US"/>
          <w14:ligatures w14:val="standardContextual"/>
        </w:rPr>
        <w:t>, on request and without fee, provide spreader test data to the Executive Director if the information is sought for research purposes or to resolve disputes.</w:t>
      </w:r>
    </w:p>
    <w:p w14:paraId="670091A5" w14:textId="77777777" w:rsidR="00096C9C" w:rsidRPr="00CC4312" w:rsidRDefault="00096C9C" w:rsidP="00096C9C">
      <w:pPr>
        <w:spacing w:after="160" w:line="259" w:lineRule="auto"/>
        <w:contextualSpacing/>
        <w:jc w:val="both"/>
        <w:rPr>
          <w:rFonts w:asciiTheme="minorHAnsi" w:eastAsiaTheme="minorHAnsi" w:hAnsiTheme="minorHAnsi" w:cstheme="minorHAnsi"/>
          <w:kern w:val="2"/>
          <w:lang w:val="en-US" w:eastAsia="en-US"/>
          <w14:ligatures w14:val="standardContextual"/>
        </w:rPr>
      </w:pPr>
    </w:p>
    <w:p w14:paraId="023590A6" w14:textId="0A8BEF8D" w:rsidR="00CC4312" w:rsidRPr="00CC4312" w:rsidRDefault="00CC4312" w:rsidP="006A1F74">
      <w:pPr>
        <w:numPr>
          <w:ilvl w:val="0"/>
          <w:numId w:val="34"/>
        </w:numPr>
        <w:spacing w:after="160" w:line="259" w:lineRule="auto"/>
        <w:ind w:left="360"/>
        <w:contextualSpacing/>
        <w:jc w:val="both"/>
        <w:rPr>
          <w:rFonts w:asciiTheme="minorHAnsi" w:eastAsiaTheme="minorHAnsi" w:hAnsiTheme="minorHAnsi" w:cstheme="minorHAnsi"/>
          <w:kern w:val="2"/>
          <w:lang w:val="en-US" w:eastAsia="en-US"/>
          <w14:ligatures w14:val="standardContextual"/>
        </w:rPr>
      </w:pPr>
      <w:r w:rsidRPr="00CC4312">
        <w:rPr>
          <w:rFonts w:asciiTheme="minorHAnsi" w:eastAsiaTheme="minorHAnsi" w:hAnsiTheme="minorHAnsi" w:cstheme="minorHAnsi"/>
          <w:kern w:val="2"/>
          <w:lang w:val="en-US" w:eastAsia="en-US"/>
          <w14:ligatures w14:val="standardContextual"/>
        </w:rPr>
        <w:t xml:space="preserve">Following Spreadmark spreader </w:t>
      </w:r>
      <w:r w:rsidR="003736B2">
        <w:rPr>
          <w:rFonts w:asciiTheme="minorHAnsi" w:eastAsiaTheme="minorHAnsi" w:hAnsiTheme="minorHAnsi" w:cstheme="minorHAnsi"/>
          <w:kern w:val="2"/>
          <w:lang w:val="en-US" w:eastAsia="en-US"/>
          <w14:ligatures w14:val="standardContextual"/>
        </w:rPr>
        <w:t>uni</w:t>
      </w:r>
      <w:r w:rsidRPr="00CC4312">
        <w:rPr>
          <w:rFonts w:asciiTheme="minorHAnsi" w:eastAsiaTheme="minorHAnsi" w:hAnsiTheme="minorHAnsi" w:cstheme="minorHAnsi"/>
          <w:kern w:val="2"/>
          <w:lang w:val="en-US" w:eastAsia="en-US"/>
          <w14:ligatures w14:val="standardContextual"/>
        </w:rPr>
        <w:t xml:space="preserve">t testing, the Spreadmark Approved Spreading </w:t>
      </w:r>
      <w:r w:rsidR="003736B2">
        <w:rPr>
          <w:rFonts w:asciiTheme="minorHAnsi" w:eastAsiaTheme="minorHAnsi" w:hAnsiTheme="minorHAnsi" w:cstheme="minorHAnsi"/>
          <w:kern w:val="2"/>
          <w:lang w:val="en-US" w:eastAsia="en-US"/>
          <w14:ligatures w14:val="standardContextual"/>
        </w:rPr>
        <w:t>Uni</w:t>
      </w:r>
      <w:r w:rsidRPr="00CC4312">
        <w:rPr>
          <w:rFonts w:asciiTheme="minorHAnsi" w:eastAsiaTheme="minorHAnsi" w:hAnsiTheme="minorHAnsi" w:cstheme="minorHAnsi"/>
          <w:kern w:val="2"/>
          <w:lang w:val="en-US" w:eastAsia="en-US"/>
          <w14:ligatures w14:val="standardContextual"/>
        </w:rPr>
        <w:t xml:space="preserve">t Tester </w:t>
      </w:r>
      <w:r w:rsidR="00011314">
        <w:rPr>
          <w:rFonts w:asciiTheme="minorHAnsi" w:eastAsiaTheme="minorHAnsi" w:hAnsiTheme="minorHAnsi" w:cstheme="minorHAnsi"/>
          <w:kern w:val="2"/>
          <w:lang w:val="en-US" w:eastAsia="en-US"/>
          <w14:ligatures w14:val="standardContextual"/>
        </w:rPr>
        <w:t>shall</w:t>
      </w:r>
      <w:r w:rsidRPr="00CC4312">
        <w:rPr>
          <w:rFonts w:asciiTheme="minorHAnsi" w:eastAsiaTheme="minorHAnsi" w:hAnsiTheme="minorHAnsi" w:cstheme="minorHAnsi"/>
          <w:kern w:val="2"/>
          <w:lang w:val="en-US" w:eastAsia="en-US"/>
          <w14:ligatures w14:val="standardContextual"/>
        </w:rPr>
        <w:t xml:space="preserve"> generate a completed Spreadmark Spreader Performance Certificate for their client company. A copy of this Performance Certificate </w:t>
      </w:r>
      <w:r w:rsidR="00A87390">
        <w:rPr>
          <w:rFonts w:asciiTheme="minorHAnsi" w:eastAsiaTheme="minorHAnsi" w:hAnsiTheme="minorHAnsi" w:cstheme="minorHAnsi"/>
          <w:kern w:val="2"/>
          <w:lang w:val="en-US" w:eastAsia="en-US"/>
          <w14:ligatures w14:val="standardContextual"/>
        </w:rPr>
        <w:t>shall</w:t>
      </w:r>
      <w:r w:rsidRPr="00CC4312">
        <w:rPr>
          <w:rFonts w:asciiTheme="minorHAnsi" w:eastAsiaTheme="minorHAnsi" w:hAnsiTheme="minorHAnsi" w:cstheme="minorHAnsi"/>
          <w:kern w:val="2"/>
          <w:lang w:val="en-US" w:eastAsia="en-US"/>
          <w14:ligatures w14:val="standardContextual"/>
        </w:rPr>
        <w:t xml:space="preserve"> be sent to the Spreadmark Auditor for review and to enable the Spreader Database to be updated.  </w:t>
      </w:r>
    </w:p>
    <w:p w14:paraId="5BFAEDF8" w14:textId="77777777" w:rsidR="00CC4312" w:rsidRPr="00CC4312" w:rsidRDefault="00CC4312" w:rsidP="00CC4312">
      <w:pPr>
        <w:spacing w:after="160" w:line="259" w:lineRule="auto"/>
        <w:jc w:val="both"/>
        <w:rPr>
          <w:rFonts w:asciiTheme="minorHAnsi" w:eastAsiaTheme="minorHAnsi" w:hAnsiTheme="minorHAnsi" w:cstheme="minorHAnsi"/>
          <w:kern w:val="2"/>
          <w:lang w:val="en-US" w:eastAsia="en-US"/>
          <w14:ligatures w14:val="standardContextual"/>
        </w:rPr>
      </w:pPr>
    </w:p>
    <w:p w14:paraId="44882FBE" w14:textId="77777777" w:rsidR="00CC4312" w:rsidRPr="00CC4312" w:rsidRDefault="00CC4312" w:rsidP="00CC4312">
      <w:pPr>
        <w:spacing w:after="160" w:line="259" w:lineRule="auto"/>
        <w:jc w:val="both"/>
        <w:rPr>
          <w:rFonts w:asciiTheme="minorHAnsi" w:eastAsiaTheme="minorHAnsi" w:hAnsiTheme="minorHAnsi" w:cstheme="minorHAnsi"/>
          <w:b/>
          <w:bCs/>
          <w:kern w:val="2"/>
          <w:lang w:val="en-US" w:eastAsia="en-US"/>
          <w14:ligatures w14:val="standardContextual"/>
        </w:rPr>
      </w:pPr>
      <w:r w:rsidRPr="00CC4312">
        <w:rPr>
          <w:rFonts w:asciiTheme="minorHAnsi" w:eastAsiaTheme="minorHAnsi" w:hAnsiTheme="minorHAnsi" w:cstheme="minorHAnsi"/>
          <w:b/>
          <w:bCs/>
          <w:kern w:val="2"/>
          <w:lang w:val="en-US" w:eastAsia="en-US"/>
          <w14:ligatures w14:val="standardContextual"/>
        </w:rPr>
        <w:t>Audits</w:t>
      </w:r>
    </w:p>
    <w:p w14:paraId="379C650A" w14:textId="1FBAE572" w:rsidR="00CC4312" w:rsidRPr="00CC4312" w:rsidRDefault="00CC4312" w:rsidP="006A1F74">
      <w:pPr>
        <w:numPr>
          <w:ilvl w:val="0"/>
          <w:numId w:val="35"/>
        </w:numPr>
        <w:spacing w:after="160" w:line="259" w:lineRule="auto"/>
        <w:ind w:left="360"/>
        <w:contextualSpacing/>
        <w:jc w:val="both"/>
        <w:rPr>
          <w:rFonts w:asciiTheme="minorHAnsi" w:eastAsiaTheme="minorHAnsi" w:hAnsiTheme="minorHAnsi" w:cstheme="minorHAnsi"/>
          <w:kern w:val="2"/>
          <w:lang w:val="en-US" w:eastAsia="en-US"/>
          <w14:ligatures w14:val="standardContextual"/>
        </w:rPr>
      </w:pPr>
      <w:r w:rsidRPr="00CC4312">
        <w:rPr>
          <w:rFonts w:asciiTheme="minorHAnsi" w:eastAsiaTheme="minorHAnsi" w:hAnsiTheme="minorHAnsi" w:cstheme="minorHAnsi"/>
          <w:kern w:val="2"/>
          <w:lang w:val="en-US" w:eastAsia="en-US"/>
          <w14:ligatures w14:val="standardContextual"/>
        </w:rPr>
        <w:lastRenderedPageBreak/>
        <w:t xml:space="preserve">The Spreadmark Approved Spreading </w:t>
      </w:r>
      <w:r w:rsidR="003736B2">
        <w:rPr>
          <w:rFonts w:asciiTheme="minorHAnsi" w:eastAsiaTheme="minorHAnsi" w:hAnsiTheme="minorHAnsi" w:cstheme="minorHAnsi"/>
          <w:kern w:val="2"/>
          <w:lang w:val="en-US" w:eastAsia="en-US"/>
          <w14:ligatures w14:val="standardContextual"/>
        </w:rPr>
        <w:t>Uni</w:t>
      </w:r>
      <w:r w:rsidRPr="00CC4312">
        <w:rPr>
          <w:rFonts w:asciiTheme="minorHAnsi" w:eastAsiaTheme="minorHAnsi" w:hAnsiTheme="minorHAnsi" w:cstheme="minorHAnsi"/>
          <w:kern w:val="2"/>
          <w:lang w:val="en-US" w:eastAsia="en-US"/>
          <w14:ligatures w14:val="standardContextual"/>
        </w:rPr>
        <w:t xml:space="preserve">t Tester shall be subject to regular audit by the Spreadmark auditor. The audit </w:t>
      </w:r>
      <w:r w:rsidR="00630669">
        <w:rPr>
          <w:rFonts w:asciiTheme="minorHAnsi" w:eastAsiaTheme="minorHAnsi" w:hAnsiTheme="minorHAnsi" w:cstheme="minorHAnsi"/>
          <w:kern w:val="2"/>
          <w:lang w:val="en-US" w:eastAsia="en-US"/>
          <w14:ligatures w14:val="standardContextual"/>
        </w:rPr>
        <w:t>shall</w:t>
      </w:r>
      <w:r w:rsidRPr="00CC4312">
        <w:rPr>
          <w:rFonts w:asciiTheme="minorHAnsi" w:eastAsiaTheme="minorHAnsi" w:hAnsiTheme="minorHAnsi" w:cstheme="minorHAnsi"/>
          <w:kern w:val="2"/>
          <w:lang w:val="en-US" w:eastAsia="en-US"/>
          <w14:ligatures w14:val="standardContextual"/>
        </w:rPr>
        <w:t xml:space="preserve"> determine </w:t>
      </w:r>
      <w:r w:rsidR="00630669">
        <w:rPr>
          <w:rFonts w:asciiTheme="minorHAnsi" w:eastAsiaTheme="minorHAnsi" w:hAnsiTheme="minorHAnsi" w:cstheme="minorHAnsi"/>
          <w:kern w:val="2"/>
          <w:lang w:val="en-US" w:eastAsia="en-US"/>
          <w14:ligatures w14:val="standardContextual"/>
        </w:rPr>
        <w:t>whether</w:t>
      </w:r>
      <w:r w:rsidRPr="00CC4312">
        <w:rPr>
          <w:rFonts w:asciiTheme="minorHAnsi" w:eastAsiaTheme="minorHAnsi" w:hAnsiTheme="minorHAnsi" w:cstheme="minorHAnsi"/>
          <w:kern w:val="2"/>
          <w:lang w:val="en-US" w:eastAsia="en-US"/>
          <w14:ligatures w14:val="standardContextual"/>
        </w:rPr>
        <w:t xml:space="preserve"> the standards specified in the Spreadmark Code of Practice are being maintained. The Spreadmark auditor </w:t>
      </w:r>
      <w:r w:rsidR="00426361">
        <w:rPr>
          <w:rFonts w:asciiTheme="minorHAnsi" w:eastAsiaTheme="minorHAnsi" w:hAnsiTheme="minorHAnsi" w:cstheme="minorHAnsi"/>
          <w:kern w:val="2"/>
          <w:lang w:val="en-US" w:eastAsia="en-US"/>
          <w14:ligatures w14:val="standardContextual"/>
        </w:rPr>
        <w:t>shall</w:t>
      </w:r>
      <w:r w:rsidRPr="00CC4312">
        <w:rPr>
          <w:rFonts w:asciiTheme="minorHAnsi" w:eastAsiaTheme="minorHAnsi" w:hAnsiTheme="minorHAnsi" w:cstheme="minorHAnsi"/>
          <w:kern w:val="2"/>
          <w:lang w:val="en-US" w:eastAsia="en-US"/>
          <w14:ligatures w14:val="standardContextual"/>
        </w:rPr>
        <w:t xml:space="preserve"> make available the results of the audit to the Fertiliser Quality Council Executive Director.</w:t>
      </w:r>
    </w:p>
    <w:p w14:paraId="0AB1239A" w14:textId="77777777" w:rsidR="00CC4312" w:rsidRPr="00CC4312" w:rsidRDefault="00CC4312" w:rsidP="006A1F74">
      <w:pPr>
        <w:spacing w:after="160" w:line="259" w:lineRule="auto"/>
        <w:ind w:left="360"/>
        <w:contextualSpacing/>
        <w:jc w:val="both"/>
        <w:rPr>
          <w:rFonts w:asciiTheme="minorHAnsi" w:eastAsiaTheme="minorHAnsi" w:hAnsiTheme="minorHAnsi" w:cstheme="minorHAnsi"/>
          <w:i/>
          <w:iCs/>
          <w:color w:val="538135" w:themeColor="accent6" w:themeShade="BF"/>
          <w:kern w:val="2"/>
          <w:lang w:val="en-US" w:eastAsia="en-US"/>
          <w14:ligatures w14:val="standardContextual"/>
        </w:rPr>
      </w:pPr>
    </w:p>
    <w:p w14:paraId="48AF6EB0" w14:textId="2D330C8A" w:rsidR="00CC4312" w:rsidRDefault="00CC4312" w:rsidP="006A1F74">
      <w:pPr>
        <w:numPr>
          <w:ilvl w:val="0"/>
          <w:numId w:val="35"/>
        </w:numPr>
        <w:spacing w:after="160" w:line="259" w:lineRule="auto"/>
        <w:ind w:left="360"/>
        <w:contextualSpacing/>
        <w:jc w:val="both"/>
        <w:rPr>
          <w:rFonts w:asciiTheme="minorHAnsi" w:eastAsiaTheme="minorHAnsi" w:hAnsiTheme="minorHAnsi" w:cstheme="minorHAnsi"/>
          <w:kern w:val="2"/>
          <w:lang w:val="en-US" w:eastAsia="en-US"/>
          <w14:ligatures w14:val="standardContextual"/>
        </w:rPr>
      </w:pPr>
      <w:r w:rsidRPr="00CC4312">
        <w:rPr>
          <w:rFonts w:asciiTheme="minorHAnsi" w:eastAsiaTheme="minorHAnsi" w:hAnsiTheme="minorHAnsi" w:cstheme="minorHAnsi"/>
          <w:kern w:val="2"/>
          <w:lang w:val="en-US" w:eastAsia="en-US"/>
          <w14:ligatures w14:val="standardContextual"/>
        </w:rPr>
        <w:t xml:space="preserve">If in the opinion of the Spreadmark auditor the Spreadmark approved specifications are not being met, the Executive Director </w:t>
      </w:r>
      <w:r w:rsidR="004C3440">
        <w:rPr>
          <w:rFonts w:asciiTheme="minorHAnsi" w:eastAsiaTheme="minorHAnsi" w:hAnsiTheme="minorHAnsi" w:cstheme="minorHAnsi"/>
          <w:kern w:val="2"/>
          <w:lang w:val="en-US" w:eastAsia="en-US"/>
          <w14:ligatures w14:val="standardContextual"/>
        </w:rPr>
        <w:t>shall</w:t>
      </w:r>
      <w:r w:rsidRPr="00CC4312">
        <w:rPr>
          <w:rFonts w:asciiTheme="minorHAnsi" w:eastAsiaTheme="minorHAnsi" w:hAnsiTheme="minorHAnsi" w:cstheme="minorHAnsi"/>
          <w:kern w:val="2"/>
          <w:lang w:val="en-US" w:eastAsia="en-US"/>
          <w14:ligatures w14:val="standardContextual"/>
        </w:rPr>
        <w:t xml:space="preserve"> require the Spreadmark Approved Spreading </w:t>
      </w:r>
      <w:r w:rsidR="003736B2">
        <w:rPr>
          <w:rFonts w:asciiTheme="minorHAnsi" w:eastAsiaTheme="minorHAnsi" w:hAnsiTheme="minorHAnsi" w:cstheme="minorHAnsi"/>
          <w:kern w:val="2"/>
          <w:lang w:val="en-US" w:eastAsia="en-US"/>
          <w14:ligatures w14:val="standardContextual"/>
        </w:rPr>
        <w:t>Uni</w:t>
      </w:r>
      <w:r w:rsidRPr="00CC4312">
        <w:rPr>
          <w:rFonts w:asciiTheme="minorHAnsi" w:eastAsiaTheme="minorHAnsi" w:hAnsiTheme="minorHAnsi" w:cstheme="minorHAnsi"/>
          <w:kern w:val="2"/>
          <w:lang w:val="en-US" w:eastAsia="en-US"/>
          <w14:ligatures w14:val="standardContextual"/>
        </w:rPr>
        <w:t xml:space="preserve">t Tester to provide an explanation within ten days. If the matter cannot be resolved the Executive Director may suspend the Spreadmark Approved Spreading </w:t>
      </w:r>
      <w:r w:rsidR="003736B2">
        <w:rPr>
          <w:rFonts w:asciiTheme="minorHAnsi" w:eastAsiaTheme="minorHAnsi" w:hAnsiTheme="minorHAnsi" w:cstheme="minorHAnsi"/>
          <w:kern w:val="2"/>
          <w:lang w:val="en-US" w:eastAsia="en-US"/>
          <w14:ligatures w14:val="standardContextual"/>
        </w:rPr>
        <w:t>Uni</w:t>
      </w:r>
      <w:r w:rsidRPr="00CC4312">
        <w:rPr>
          <w:rFonts w:asciiTheme="minorHAnsi" w:eastAsiaTheme="minorHAnsi" w:hAnsiTheme="minorHAnsi" w:cstheme="minorHAnsi"/>
          <w:kern w:val="2"/>
          <w:lang w:val="en-US" w:eastAsia="en-US"/>
          <w14:ligatures w14:val="standardContextual"/>
        </w:rPr>
        <w:t>t Tester from Spreadmark testing.</w:t>
      </w:r>
    </w:p>
    <w:p w14:paraId="364B5F9E" w14:textId="77777777" w:rsidR="00F028F8" w:rsidRPr="00CC4312" w:rsidRDefault="00F028F8" w:rsidP="00F028F8">
      <w:pPr>
        <w:spacing w:after="160" w:line="259" w:lineRule="auto"/>
        <w:contextualSpacing/>
        <w:jc w:val="both"/>
        <w:rPr>
          <w:rFonts w:asciiTheme="minorHAnsi" w:eastAsiaTheme="minorHAnsi" w:hAnsiTheme="minorHAnsi" w:cstheme="minorHAnsi"/>
          <w:kern w:val="2"/>
          <w:lang w:val="en-US" w:eastAsia="en-US"/>
          <w14:ligatures w14:val="standardContextual"/>
        </w:rPr>
      </w:pPr>
    </w:p>
    <w:p w14:paraId="1BB0A7C7" w14:textId="5AED1333" w:rsidR="00F028F8" w:rsidRDefault="00CC4312" w:rsidP="00957FE4">
      <w:pPr>
        <w:numPr>
          <w:ilvl w:val="0"/>
          <w:numId w:val="35"/>
        </w:numPr>
        <w:spacing w:after="160" w:line="259" w:lineRule="auto"/>
        <w:ind w:left="360"/>
        <w:contextualSpacing/>
        <w:jc w:val="both"/>
        <w:rPr>
          <w:rFonts w:asciiTheme="minorHAnsi" w:eastAsiaTheme="minorHAnsi" w:hAnsiTheme="minorHAnsi" w:cstheme="minorHAnsi"/>
          <w:kern w:val="2"/>
          <w:lang w:val="en-US" w:eastAsia="en-US"/>
          <w14:ligatures w14:val="standardContextual"/>
        </w:rPr>
      </w:pPr>
      <w:r w:rsidRPr="00CC4312">
        <w:rPr>
          <w:rFonts w:asciiTheme="minorHAnsi" w:eastAsiaTheme="minorHAnsi" w:hAnsiTheme="minorHAnsi" w:cstheme="minorHAnsi"/>
          <w:kern w:val="2"/>
          <w:lang w:val="en-US" w:eastAsia="en-US"/>
          <w14:ligatures w14:val="standardContextual"/>
        </w:rPr>
        <w:t xml:space="preserve">The Spreadmark auditor may be asked to conduct an audit of the Spreadmark Approved Spreading </w:t>
      </w:r>
      <w:r w:rsidR="003736B2">
        <w:rPr>
          <w:rFonts w:asciiTheme="minorHAnsi" w:eastAsiaTheme="minorHAnsi" w:hAnsiTheme="minorHAnsi" w:cstheme="minorHAnsi"/>
          <w:kern w:val="2"/>
          <w:lang w:val="en-US" w:eastAsia="en-US"/>
          <w14:ligatures w14:val="standardContextual"/>
        </w:rPr>
        <w:t>Uni</w:t>
      </w:r>
      <w:r w:rsidRPr="00CC4312">
        <w:rPr>
          <w:rFonts w:asciiTheme="minorHAnsi" w:eastAsiaTheme="minorHAnsi" w:hAnsiTheme="minorHAnsi" w:cstheme="minorHAnsi"/>
          <w:kern w:val="2"/>
          <w:lang w:val="en-US" w:eastAsia="en-US"/>
          <w14:ligatures w14:val="standardContextual"/>
        </w:rPr>
        <w:t>t Tester if requested by the Executive Director following any complaint.</w:t>
      </w:r>
    </w:p>
    <w:p w14:paraId="1679A128" w14:textId="77777777" w:rsidR="00957FE4" w:rsidRPr="00957FE4" w:rsidRDefault="00957FE4" w:rsidP="00957FE4">
      <w:pPr>
        <w:spacing w:after="160" w:line="259" w:lineRule="auto"/>
        <w:contextualSpacing/>
        <w:jc w:val="both"/>
        <w:rPr>
          <w:rFonts w:asciiTheme="minorHAnsi" w:eastAsiaTheme="minorHAnsi" w:hAnsiTheme="minorHAnsi" w:cstheme="minorHAnsi"/>
          <w:kern w:val="2"/>
          <w:lang w:val="en-US" w:eastAsia="en-US"/>
          <w14:ligatures w14:val="standardContextual"/>
        </w:rPr>
      </w:pPr>
    </w:p>
    <w:p w14:paraId="70C5AEA1" w14:textId="46BD59F6" w:rsidR="00CC4312" w:rsidRPr="00F028F8" w:rsidRDefault="00CC4312" w:rsidP="00F028F8">
      <w:pPr>
        <w:numPr>
          <w:ilvl w:val="0"/>
          <w:numId w:val="35"/>
        </w:numPr>
        <w:spacing w:after="160" w:line="259" w:lineRule="auto"/>
        <w:ind w:left="360"/>
        <w:contextualSpacing/>
        <w:jc w:val="both"/>
        <w:rPr>
          <w:rFonts w:asciiTheme="minorHAnsi" w:eastAsiaTheme="minorHAnsi" w:hAnsiTheme="minorHAnsi" w:cstheme="minorHAnsi"/>
          <w:kern w:val="2"/>
          <w:lang w:val="en-US" w:eastAsia="en-US"/>
          <w14:ligatures w14:val="standardContextual"/>
        </w:rPr>
      </w:pPr>
      <w:r w:rsidRPr="00F028F8">
        <w:rPr>
          <w:rFonts w:asciiTheme="minorHAnsi" w:eastAsiaTheme="minorHAnsi" w:hAnsiTheme="minorHAnsi" w:cstheme="minorHAnsi"/>
          <w:kern w:val="2"/>
          <w:lang w:val="en-US" w:eastAsia="en-US"/>
          <w14:ligatures w14:val="standardContextual"/>
        </w:rPr>
        <w:t>In all matters in dispute the decision of the Executive of the Fertiliser Quality Council will be binding on the parties.</w:t>
      </w:r>
    </w:p>
    <w:p w14:paraId="47074D88" w14:textId="5453DDE6" w:rsidR="00CC4312" w:rsidRPr="00CC4312" w:rsidRDefault="00CC4312" w:rsidP="00CC4312">
      <w:pPr>
        <w:spacing w:after="160" w:line="259" w:lineRule="auto"/>
        <w:jc w:val="both"/>
        <w:rPr>
          <w:rFonts w:asciiTheme="minorHAnsi" w:eastAsiaTheme="minorHAnsi" w:hAnsiTheme="minorHAnsi" w:cstheme="minorHAnsi"/>
          <w:b/>
          <w:bCs/>
          <w:kern w:val="2"/>
          <w:lang w:val="en-US" w:eastAsia="en-US"/>
          <w14:ligatures w14:val="standardContextual"/>
        </w:rPr>
      </w:pPr>
    </w:p>
    <w:p w14:paraId="7E362C73" w14:textId="3B0607AD" w:rsidR="00CC4312" w:rsidRPr="00CC4312" w:rsidRDefault="00CC4312" w:rsidP="00CC4312">
      <w:pPr>
        <w:spacing w:after="160" w:line="259" w:lineRule="auto"/>
        <w:jc w:val="both"/>
        <w:rPr>
          <w:rFonts w:asciiTheme="minorHAnsi" w:eastAsiaTheme="minorHAnsi" w:hAnsiTheme="minorHAnsi" w:cstheme="minorHAnsi"/>
          <w:b/>
          <w:bCs/>
          <w:i/>
          <w:iCs/>
          <w:color w:val="538135" w:themeColor="accent6" w:themeShade="BF"/>
          <w:kern w:val="2"/>
          <w:lang w:val="en-US" w:eastAsia="en-US"/>
          <w14:ligatures w14:val="standardContextual"/>
        </w:rPr>
      </w:pPr>
      <w:r w:rsidRPr="00CC4312">
        <w:rPr>
          <w:rFonts w:asciiTheme="minorHAnsi" w:eastAsiaTheme="minorHAnsi" w:hAnsiTheme="minorHAnsi" w:cstheme="minorHAnsi"/>
          <w:b/>
          <w:bCs/>
          <w:kern w:val="2"/>
          <w:lang w:val="en-US" w:eastAsia="en-US"/>
          <w14:ligatures w14:val="standardContextual"/>
        </w:rPr>
        <w:t xml:space="preserve">Disputes </w:t>
      </w:r>
    </w:p>
    <w:p w14:paraId="7F543401" w14:textId="57D01218" w:rsidR="00CC4312" w:rsidRPr="00CC4312" w:rsidRDefault="00CC4312" w:rsidP="006A1F74">
      <w:pPr>
        <w:numPr>
          <w:ilvl w:val="0"/>
          <w:numId w:val="36"/>
        </w:numPr>
        <w:spacing w:after="160" w:line="259" w:lineRule="auto"/>
        <w:ind w:left="360"/>
        <w:contextualSpacing/>
        <w:jc w:val="both"/>
        <w:rPr>
          <w:rFonts w:asciiTheme="minorHAnsi" w:eastAsiaTheme="minorHAnsi" w:hAnsiTheme="minorHAnsi" w:cstheme="minorHAnsi"/>
          <w:kern w:val="2"/>
          <w:lang w:val="en-US" w:eastAsia="en-US"/>
          <w14:ligatures w14:val="standardContextual"/>
        </w:rPr>
      </w:pPr>
      <w:r w:rsidRPr="00CC4312">
        <w:rPr>
          <w:rFonts w:asciiTheme="minorHAnsi" w:eastAsiaTheme="minorHAnsi" w:hAnsiTheme="minorHAnsi" w:cstheme="minorHAnsi"/>
          <w:kern w:val="2"/>
          <w:lang w:val="en-US" w:eastAsia="en-US"/>
          <w14:ligatures w14:val="standardContextual"/>
        </w:rPr>
        <w:t xml:space="preserve">Disputes that may arise between Spreadmark registered or applicant companies and Spreadmark Approved Spreading </w:t>
      </w:r>
      <w:r w:rsidR="003736B2">
        <w:rPr>
          <w:rFonts w:asciiTheme="minorHAnsi" w:eastAsiaTheme="minorHAnsi" w:hAnsiTheme="minorHAnsi" w:cstheme="minorHAnsi"/>
          <w:kern w:val="2"/>
          <w:lang w:val="en-US" w:eastAsia="en-US"/>
          <w14:ligatures w14:val="standardContextual"/>
        </w:rPr>
        <w:t>Uni</w:t>
      </w:r>
      <w:r w:rsidRPr="00CC4312">
        <w:rPr>
          <w:rFonts w:asciiTheme="minorHAnsi" w:eastAsiaTheme="minorHAnsi" w:hAnsiTheme="minorHAnsi" w:cstheme="minorHAnsi"/>
          <w:kern w:val="2"/>
          <w:lang w:val="en-US" w:eastAsia="en-US"/>
          <w14:ligatures w14:val="standardContextual"/>
        </w:rPr>
        <w:t xml:space="preserve">t Testers shall be managed according to the </w:t>
      </w:r>
      <w:hyperlink w:anchor="Discipline" w:history="1">
        <w:r w:rsidRPr="00521DE7">
          <w:rPr>
            <w:rStyle w:val="Hyperlink"/>
            <w:rFonts w:asciiTheme="minorHAnsi" w:eastAsiaTheme="minorHAnsi" w:hAnsiTheme="minorHAnsi" w:cstheme="minorHAnsi"/>
            <w:kern w:val="2"/>
            <w:lang w:val="en-US" w:eastAsia="en-US"/>
            <w14:ligatures w14:val="standardContextual"/>
          </w:rPr>
          <w:t xml:space="preserve">Spreadmark Disciplinary and </w:t>
        </w:r>
        <w:r w:rsidR="00562751">
          <w:rPr>
            <w:rStyle w:val="Hyperlink"/>
            <w:rFonts w:asciiTheme="minorHAnsi" w:eastAsiaTheme="minorHAnsi" w:hAnsiTheme="minorHAnsi" w:cstheme="minorHAnsi"/>
            <w:kern w:val="2"/>
            <w:lang w:val="en-US" w:eastAsia="en-US"/>
            <w14:ligatures w14:val="standardContextual"/>
          </w:rPr>
          <w:t>Certification</w:t>
        </w:r>
        <w:r w:rsidRPr="00521DE7">
          <w:rPr>
            <w:rStyle w:val="Hyperlink"/>
            <w:rFonts w:asciiTheme="minorHAnsi" w:eastAsiaTheme="minorHAnsi" w:hAnsiTheme="minorHAnsi" w:cstheme="minorHAnsi"/>
            <w:kern w:val="2"/>
            <w:lang w:val="en-US" w:eastAsia="en-US"/>
            <w14:ligatures w14:val="standardContextual"/>
          </w:rPr>
          <w:t xml:space="preserve"> Procedure</w:t>
        </w:r>
      </w:hyperlink>
      <w:r w:rsidRPr="00CC4312">
        <w:rPr>
          <w:rFonts w:asciiTheme="minorHAnsi" w:eastAsiaTheme="minorHAnsi" w:hAnsiTheme="minorHAnsi" w:cstheme="minorHAnsi"/>
          <w:kern w:val="2"/>
          <w:lang w:val="en-US" w:eastAsia="en-US"/>
          <w14:ligatures w14:val="standardContextual"/>
        </w:rPr>
        <w:t xml:space="preserve"> </w:t>
      </w:r>
    </w:p>
    <w:p w14:paraId="3956B396" w14:textId="77777777" w:rsidR="00CC4312" w:rsidRDefault="00CC4312" w:rsidP="00B71026">
      <w:pPr>
        <w:spacing w:before="120" w:after="240"/>
        <w:ind w:left="851" w:hanging="851"/>
        <w:jc w:val="both"/>
        <w:rPr>
          <w:b/>
        </w:rPr>
      </w:pPr>
    </w:p>
    <w:p w14:paraId="7FACAF71" w14:textId="492915F8" w:rsidR="00E625E3" w:rsidRDefault="00E625E3" w:rsidP="00075E60">
      <w:pPr>
        <w:jc w:val="both"/>
      </w:pPr>
      <w:r>
        <w:t xml:space="preserve">Click here </w:t>
      </w:r>
      <w:hyperlink r:id="rId11" w:history="1">
        <w:r w:rsidRPr="00554CDF">
          <w:rPr>
            <w:rStyle w:val="Hyperlink"/>
          </w:rPr>
          <w:t>https://fertqual.co.nz/resources/</w:t>
        </w:r>
      </w:hyperlink>
      <w:r>
        <w:t xml:space="preserve"> to </w:t>
      </w:r>
      <w:r w:rsidR="00075E60">
        <w:t xml:space="preserve">apply to become a tester and </w:t>
      </w:r>
      <w:r>
        <w:t xml:space="preserve">view the current list of </w:t>
      </w:r>
      <w:r w:rsidR="00875B37">
        <w:t xml:space="preserve">Approved </w:t>
      </w:r>
      <w:r>
        <w:t xml:space="preserve">Spreadmark Testers. </w:t>
      </w:r>
    </w:p>
    <w:p w14:paraId="5C421775" w14:textId="77777777" w:rsidR="00075E60" w:rsidRPr="00075E60" w:rsidRDefault="00075E60" w:rsidP="00075E60">
      <w:pPr>
        <w:jc w:val="both"/>
      </w:pPr>
    </w:p>
    <w:p w14:paraId="4EE5D847" w14:textId="26EA8DFD" w:rsidR="00195575" w:rsidRPr="005849A2" w:rsidRDefault="00195575" w:rsidP="00195575">
      <w:pPr>
        <w:pStyle w:val="Heading1"/>
        <w:spacing w:line="240" w:lineRule="auto"/>
        <w:ind w:left="0"/>
        <w:rPr>
          <w:sz w:val="22"/>
          <w:szCs w:val="22"/>
        </w:rPr>
      </w:pPr>
      <w:bookmarkStart w:id="5" w:name="Training"/>
      <w:bookmarkEnd w:id="5"/>
      <w:r w:rsidRPr="00F96FFC">
        <w:rPr>
          <w:caps/>
          <w:sz w:val="22"/>
          <w:szCs w:val="22"/>
        </w:rPr>
        <w:t>TRAINING FOR NUTRIENT APPLICATORS</w:t>
      </w:r>
    </w:p>
    <w:p w14:paraId="62A70C2F" w14:textId="77777777" w:rsidR="00195575" w:rsidRPr="00F96FFC" w:rsidRDefault="00195575" w:rsidP="00195575">
      <w:pPr>
        <w:spacing w:before="120" w:after="240"/>
        <w:ind w:left="851" w:right="-188" w:hanging="851"/>
        <w:jc w:val="both"/>
        <w:rPr>
          <w:b/>
          <w:u w:val="single"/>
        </w:rPr>
      </w:pPr>
      <w:r w:rsidRPr="00F96FFC">
        <w:rPr>
          <w:b/>
          <w:u w:val="single"/>
        </w:rPr>
        <w:t xml:space="preserve">Spreader Operator Training Principles </w:t>
      </w:r>
    </w:p>
    <w:p w14:paraId="3D8B5299" w14:textId="77777777" w:rsidR="00195575" w:rsidRPr="00F96FFC" w:rsidRDefault="00195575" w:rsidP="00195575">
      <w:pPr>
        <w:spacing w:before="120" w:after="120"/>
        <w:ind w:left="851" w:hanging="851"/>
        <w:jc w:val="both"/>
        <w:rPr>
          <w:b/>
        </w:rPr>
      </w:pPr>
      <w:r w:rsidRPr="00F96FFC">
        <w:rPr>
          <w:b/>
        </w:rPr>
        <w:t>1.</w:t>
      </w:r>
      <w:r w:rsidRPr="00F96FFC">
        <w:rPr>
          <w:b/>
        </w:rPr>
        <w:tab/>
        <w:t>Philosophy</w:t>
      </w:r>
    </w:p>
    <w:p w14:paraId="00101223" w14:textId="4B41BD33" w:rsidR="00CC202D" w:rsidRDefault="00195575" w:rsidP="00195575">
      <w:pPr>
        <w:spacing w:before="120" w:after="240" w:line="240" w:lineRule="auto"/>
        <w:jc w:val="both"/>
      </w:pPr>
      <w:r w:rsidRPr="001F1C58">
        <w:t xml:space="preserve">The Fertiliser Quality Council </w:t>
      </w:r>
      <w:r w:rsidR="000C2324">
        <w:t>is</w:t>
      </w:r>
      <w:r w:rsidRPr="001F1C58">
        <w:t xml:space="preserve"> committed to the implementation of the Spreadmark Code of Practice and to that end has supported the development of a training syllabus </w:t>
      </w:r>
      <w:r w:rsidR="00AE622F">
        <w:t xml:space="preserve">for groundspread operators </w:t>
      </w:r>
      <w:r w:rsidRPr="001F1C58">
        <w:t>to assist with the successful achievement of the programme’s objectives.  The Council believes that the successful achievement of the objectives of the Code is dependent on sound knowledge and understanding of</w:t>
      </w:r>
      <w:r w:rsidR="000C2324">
        <w:t xml:space="preserve"> the</w:t>
      </w:r>
      <w:r w:rsidRPr="001F1C58">
        <w:t xml:space="preserve"> placement of </w:t>
      </w:r>
      <w:r w:rsidR="000C2324">
        <w:t>nutrient</w:t>
      </w:r>
      <w:r w:rsidRPr="001F1C58">
        <w:t xml:space="preserve"> in New Zealand, and that through training of </w:t>
      </w:r>
      <w:r w:rsidR="00AE622F">
        <w:t>groundspread</w:t>
      </w:r>
      <w:r w:rsidRPr="001F1C58">
        <w:t xml:space="preserve"> operator</w:t>
      </w:r>
      <w:r w:rsidR="00B4376F">
        <w:t>s</w:t>
      </w:r>
      <w:r w:rsidRPr="001F1C58">
        <w:t xml:space="preserve"> such knowledge and understanding will be gained.</w:t>
      </w:r>
    </w:p>
    <w:p w14:paraId="1C086E2C" w14:textId="5821668A" w:rsidR="00DA407A" w:rsidRPr="007D61D5" w:rsidRDefault="005A4BBA" w:rsidP="00195575">
      <w:pPr>
        <w:spacing w:before="120" w:after="240" w:line="240" w:lineRule="auto"/>
        <w:jc w:val="both"/>
        <w:rPr>
          <w:i/>
          <w:iCs/>
        </w:rPr>
      </w:pPr>
      <w:r w:rsidRPr="00153361">
        <w:rPr>
          <w:i/>
          <w:iCs/>
        </w:rPr>
        <w:t>Note: All pilots and UAV operators are required to hold an agricultural rating with a topdressing endorsement in accordance with CAA</w:t>
      </w:r>
      <w:r w:rsidR="000042B5" w:rsidRPr="00153361">
        <w:rPr>
          <w:i/>
          <w:iCs/>
        </w:rPr>
        <w:t xml:space="preserve"> </w:t>
      </w:r>
      <w:r w:rsidRPr="00153361">
        <w:rPr>
          <w:i/>
          <w:iCs/>
        </w:rPr>
        <w:t>Rule Part 61 Advisory Circular</w:t>
      </w:r>
      <w:r w:rsidR="000E035E" w:rsidRPr="00153361">
        <w:rPr>
          <w:i/>
          <w:iCs/>
        </w:rPr>
        <w:t xml:space="preserve"> </w:t>
      </w:r>
      <w:r w:rsidR="00517C43" w:rsidRPr="00153361">
        <w:rPr>
          <w:i/>
          <w:iCs/>
        </w:rPr>
        <w:t>AC061-15</w:t>
      </w:r>
      <w:r w:rsidR="00517C43">
        <w:rPr>
          <w:i/>
          <w:iCs/>
        </w:rPr>
        <w:t xml:space="preserve"> </w:t>
      </w:r>
      <w:r w:rsidRPr="007D61D5">
        <w:rPr>
          <w:i/>
          <w:iCs/>
        </w:rPr>
        <w:t xml:space="preserve"> </w:t>
      </w:r>
      <w:hyperlink r:id="rId12" w:history="1">
        <w:r w:rsidR="000042B5" w:rsidRPr="007D61D5">
          <w:rPr>
            <w:rStyle w:val="Hyperlink"/>
            <w:i/>
            <w:iCs/>
          </w:rPr>
          <w:t>https://www.aviation.govt.nz/assets/rules/advisory-circulars/ac061-15.pdf</w:t>
        </w:r>
      </w:hyperlink>
      <w:r w:rsidRPr="007D61D5">
        <w:rPr>
          <w:i/>
          <w:iCs/>
        </w:rPr>
        <w:t xml:space="preserve"> and Rule Part 102 Advisory Circular AC102-01 </w:t>
      </w:r>
      <w:hyperlink r:id="rId13" w:history="1">
        <w:r w:rsidR="00E354E8" w:rsidRPr="00577092">
          <w:rPr>
            <w:rStyle w:val="Hyperlink"/>
            <w:i/>
            <w:iCs/>
          </w:rPr>
          <w:t>https://www.aviation.govt.nz/assets/rules/advisory-circulars/ac102-1.pdf</w:t>
        </w:r>
      </w:hyperlink>
      <w:r w:rsidR="00E354E8">
        <w:rPr>
          <w:i/>
          <w:iCs/>
        </w:rPr>
        <w:t xml:space="preserve"> </w:t>
      </w:r>
    </w:p>
    <w:p w14:paraId="2096E4CD" w14:textId="77777777" w:rsidR="00195575" w:rsidRPr="00F96FFC" w:rsidRDefault="00195575" w:rsidP="00195575">
      <w:pPr>
        <w:spacing w:before="120" w:after="120"/>
        <w:ind w:left="851" w:hanging="851"/>
        <w:jc w:val="both"/>
        <w:rPr>
          <w:b/>
        </w:rPr>
      </w:pPr>
      <w:r w:rsidRPr="00F96FFC">
        <w:rPr>
          <w:b/>
        </w:rPr>
        <w:t>2.</w:t>
      </w:r>
      <w:r w:rsidRPr="00F96FFC">
        <w:rPr>
          <w:b/>
        </w:rPr>
        <w:tab/>
        <w:t>Methodology</w:t>
      </w:r>
    </w:p>
    <w:p w14:paraId="57D44006" w14:textId="4B592874" w:rsidR="00195575" w:rsidRPr="001F1C58" w:rsidRDefault="00195575" w:rsidP="00195575">
      <w:pPr>
        <w:spacing w:before="120" w:after="240" w:line="240" w:lineRule="auto"/>
        <w:jc w:val="both"/>
      </w:pPr>
      <w:r w:rsidRPr="001F1C58">
        <w:t xml:space="preserve">Training outcomes </w:t>
      </w:r>
      <w:r w:rsidR="00B4376F">
        <w:t xml:space="preserve">for groundspread operators </w:t>
      </w:r>
      <w:r w:rsidRPr="001F1C58">
        <w:t>have been determined based on the material contained in the Spreadmark Code of Practice</w:t>
      </w:r>
      <w:r w:rsidRPr="0037232D">
        <w:t>.  The training outcomes are focused on developing the understanding and knowledge required by competent operator</w:t>
      </w:r>
      <w:r w:rsidR="00370AA4">
        <w:t>s</w:t>
      </w:r>
      <w:r w:rsidRPr="0037232D">
        <w:t xml:space="preserve"> in the activity of spreading </w:t>
      </w:r>
      <w:r w:rsidR="00370AA4">
        <w:t>nutrients</w:t>
      </w:r>
      <w:r w:rsidRPr="0037232D">
        <w:t>.</w:t>
      </w:r>
    </w:p>
    <w:p w14:paraId="6948DBA2" w14:textId="3671B48C" w:rsidR="0022304F" w:rsidRDefault="00195575" w:rsidP="00195575">
      <w:pPr>
        <w:spacing w:before="120" w:after="240" w:line="240" w:lineRule="auto"/>
        <w:jc w:val="both"/>
      </w:pPr>
      <w:r w:rsidRPr="001F1C58">
        <w:lastRenderedPageBreak/>
        <w:t>The material used is structured to suit a wide range of operator</w:t>
      </w:r>
      <w:r w:rsidR="006E3F0C">
        <w:t>s</w:t>
      </w:r>
      <w:r w:rsidRPr="001F1C58">
        <w:t xml:space="preserve"> with varying levels of knowledge and understanding.  In all training activities, the emphasis is on technically sound information and direction, and all essential information will be presented in clear, concise terms and supported by illustrative material and practical aids.</w:t>
      </w:r>
    </w:p>
    <w:p w14:paraId="2E5BDCBE" w14:textId="6F56745C" w:rsidR="00F94EE8" w:rsidRPr="001F1C58" w:rsidRDefault="00A7022E" w:rsidP="00195575">
      <w:pPr>
        <w:spacing w:before="120" w:after="240" w:line="240" w:lineRule="auto"/>
        <w:jc w:val="both"/>
      </w:pPr>
      <w:r w:rsidRPr="00B92D71">
        <w:rPr>
          <w:highlight w:val="yellow"/>
        </w:rPr>
        <w:t xml:space="preserve">Records of </w:t>
      </w:r>
      <w:r w:rsidR="009F44DD" w:rsidRPr="00B92D71">
        <w:rPr>
          <w:highlight w:val="yellow"/>
        </w:rPr>
        <w:t xml:space="preserve">operator </w:t>
      </w:r>
      <w:r w:rsidRPr="00B92D71">
        <w:rPr>
          <w:highlight w:val="yellow"/>
        </w:rPr>
        <w:t>training</w:t>
      </w:r>
      <w:r w:rsidR="009F44DD" w:rsidRPr="00B92D71">
        <w:rPr>
          <w:highlight w:val="yellow"/>
        </w:rPr>
        <w:t xml:space="preserve"> shall be kept by the Spreadmark certified company</w:t>
      </w:r>
      <w:r w:rsidR="00DF5FDD" w:rsidRPr="00B92D71">
        <w:rPr>
          <w:highlight w:val="yellow"/>
        </w:rPr>
        <w:t xml:space="preserve"> and made available to the </w:t>
      </w:r>
      <w:r w:rsidR="00676CA0" w:rsidRPr="00B92D71">
        <w:rPr>
          <w:highlight w:val="yellow"/>
        </w:rPr>
        <w:t>Executive</w:t>
      </w:r>
      <w:r w:rsidR="00DF5FDD" w:rsidRPr="00B92D71">
        <w:rPr>
          <w:highlight w:val="yellow"/>
        </w:rPr>
        <w:t xml:space="preserve"> </w:t>
      </w:r>
      <w:r w:rsidR="00676CA0" w:rsidRPr="00B92D71">
        <w:rPr>
          <w:highlight w:val="yellow"/>
        </w:rPr>
        <w:t>Director of the Fertiliser Council or their nominee on request.</w:t>
      </w:r>
      <w:r w:rsidR="009F44DD">
        <w:t xml:space="preserve"> </w:t>
      </w:r>
    </w:p>
    <w:p w14:paraId="6244938E" w14:textId="77777777" w:rsidR="00195575" w:rsidRPr="001F1C58" w:rsidRDefault="00195575" w:rsidP="00195575">
      <w:pPr>
        <w:spacing w:before="120" w:after="120"/>
        <w:ind w:left="851" w:hanging="851"/>
        <w:jc w:val="both"/>
        <w:rPr>
          <w:b/>
        </w:rPr>
      </w:pPr>
      <w:r w:rsidRPr="001F1C58">
        <w:rPr>
          <w:b/>
        </w:rPr>
        <w:t>3.</w:t>
      </w:r>
      <w:r w:rsidRPr="001F1C58">
        <w:rPr>
          <w:b/>
        </w:rPr>
        <w:tab/>
        <w:t>Approval</w:t>
      </w:r>
    </w:p>
    <w:p w14:paraId="6B805857" w14:textId="09598FC3" w:rsidR="000C2324" w:rsidRPr="001F1C58" w:rsidRDefault="00195575" w:rsidP="00195575">
      <w:pPr>
        <w:spacing w:before="120" w:after="240" w:line="240" w:lineRule="auto"/>
        <w:jc w:val="both"/>
      </w:pPr>
      <w:r w:rsidRPr="001F1C58">
        <w:t xml:space="preserve">Courses which the Fertiliser Quality Council accepts as meeting the operator training requirements of the Spreadmark Code of Practice are listed </w:t>
      </w:r>
      <w:r w:rsidR="000C2324">
        <w:t xml:space="preserve">on the website of the Fertiliser Quality Council </w:t>
      </w:r>
      <w:hyperlink r:id="rId14" w:history="1">
        <w:r w:rsidR="000C2324" w:rsidRPr="00727E09">
          <w:rPr>
            <w:rStyle w:val="Hyperlink"/>
          </w:rPr>
          <w:t>https://fertqual.co.nz/resources/</w:t>
        </w:r>
      </w:hyperlink>
    </w:p>
    <w:p w14:paraId="00D82075" w14:textId="77777777" w:rsidR="00195575" w:rsidRPr="001F1C58" w:rsidRDefault="00195575" w:rsidP="00195575">
      <w:pPr>
        <w:spacing w:before="120" w:after="120"/>
        <w:ind w:left="851" w:hanging="851"/>
        <w:jc w:val="both"/>
        <w:rPr>
          <w:b/>
        </w:rPr>
      </w:pPr>
      <w:r w:rsidRPr="001F1C58">
        <w:rPr>
          <w:b/>
        </w:rPr>
        <w:t>4.</w:t>
      </w:r>
      <w:r w:rsidRPr="001F1C58">
        <w:rPr>
          <w:b/>
        </w:rPr>
        <w:tab/>
        <w:t>Competency</w:t>
      </w:r>
    </w:p>
    <w:p w14:paraId="7E61DFDF" w14:textId="77777777" w:rsidR="00195575" w:rsidRPr="001F1C58" w:rsidRDefault="00195575" w:rsidP="00195575">
      <w:pPr>
        <w:spacing w:before="120" w:after="240" w:line="240" w:lineRule="auto"/>
        <w:jc w:val="both"/>
      </w:pPr>
      <w:r w:rsidRPr="001F1C58">
        <w:t>Competency will be assessed at a number of points during the training using a range of appropriate instruments including:</w:t>
      </w:r>
    </w:p>
    <w:p w14:paraId="0BD67723" w14:textId="77777777" w:rsidR="00195575" w:rsidRPr="001F1C58" w:rsidRDefault="00195575" w:rsidP="00195575">
      <w:pPr>
        <w:pStyle w:val="ListParagraph"/>
        <w:numPr>
          <w:ilvl w:val="0"/>
          <w:numId w:val="7"/>
        </w:numPr>
        <w:spacing w:before="120" w:after="240" w:line="240" w:lineRule="auto"/>
        <w:ind w:left="714" w:hanging="357"/>
        <w:jc w:val="both"/>
      </w:pPr>
      <w:r w:rsidRPr="001F1C58">
        <w:t>Written tests</w:t>
      </w:r>
    </w:p>
    <w:p w14:paraId="3DA521CD" w14:textId="77777777" w:rsidR="00195575" w:rsidRPr="001F1C58" w:rsidRDefault="00195575" w:rsidP="00195575">
      <w:pPr>
        <w:pStyle w:val="ListParagraph"/>
        <w:numPr>
          <w:ilvl w:val="0"/>
          <w:numId w:val="7"/>
        </w:numPr>
        <w:spacing w:before="120" w:after="240" w:line="240" w:lineRule="auto"/>
        <w:ind w:left="714" w:hanging="357"/>
        <w:jc w:val="both"/>
      </w:pPr>
      <w:r w:rsidRPr="001F1C58">
        <w:t>Multi-choice questions</w:t>
      </w:r>
    </w:p>
    <w:p w14:paraId="030E9622" w14:textId="77777777" w:rsidR="00195575" w:rsidRPr="001F1C58" w:rsidRDefault="00195575" w:rsidP="00195575">
      <w:pPr>
        <w:pStyle w:val="ListParagraph"/>
        <w:numPr>
          <w:ilvl w:val="0"/>
          <w:numId w:val="7"/>
        </w:numPr>
        <w:spacing w:before="120" w:after="240" w:line="240" w:lineRule="auto"/>
        <w:ind w:left="714" w:hanging="357"/>
        <w:jc w:val="both"/>
      </w:pPr>
      <w:r w:rsidRPr="001F1C58">
        <w:t>Non-verbal graphical interpretation</w:t>
      </w:r>
    </w:p>
    <w:p w14:paraId="61A255F7" w14:textId="77777777" w:rsidR="00195575" w:rsidRPr="001F1C58" w:rsidRDefault="00195575" w:rsidP="00195575">
      <w:pPr>
        <w:pStyle w:val="ListParagraph"/>
        <w:numPr>
          <w:ilvl w:val="0"/>
          <w:numId w:val="7"/>
        </w:numPr>
        <w:spacing w:before="120" w:after="240" w:line="240" w:lineRule="auto"/>
        <w:ind w:left="714" w:hanging="357"/>
        <w:jc w:val="both"/>
      </w:pPr>
      <w:r w:rsidRPr="001F1C58">
        <w:t>Workshop activities</w:t>
      </w:r>
    </w:p>
    <w:p w14:paraId="2BC8C6BE" w14:textId="77777777" w:rsidR="00195575" w:rsidRPr="001F1C58" w:rsidRDefault="00195575" w:rsidP="00195575">
      <w:pPr>
        <w:pStyle w:val="ListParagraph"/>
        <w:numPr>
          <w:ilvl w:val="0"/>
          <w:numId w:val="7"/>
        </w:numPr>
        <w:spacing w:before="120" w:after="240" w:line="240" w:lineRule="auto"/>
        <w:ind w:left="714" w:hanging="357"/>
        <w:jc w:val="both"/>
      </w:pPr>
      <w:r w:rsidRPr="001F1C58">
        <w:t>Verbal recording</w:t>
      </w:r>
    </w:p>
    <w:p w14:paraId="507D219E" w14:textId="77777777" w:rsidR="00195575" w:rsidRDefault="00195575" w:rsidP="00195575">
      <w:pPr>
        <w:pStyle w:val="ListParagraph"/>
        <w:numPr>
          <w:ilvl w:val="0"/>
          <w:numId w:val="7"/>
        </w:numPr>
        <w:spacing w:before="120" w:after="240" w:line="240" w:lineRule="auto"/>
        <w:ind w:left="714" w:hanging="357"/>
        <w:jc w:val="both"/>
      </w:pPr>
      <w:r w:rsidRPr="001F1C58">
        <w:t>Practical tests</w:t>
      </w:r>
    </w:p>
    <w:p w14:paraId="293289A0" w14:textId="3EBADCA5" w:rsidR="00032F42" w:rsidRPr="001F1C58" w:rsidRDefault="00032F42" w:rsidP="00195575">
      <w:pPr>
        <w:pStyle w:val="ListParagraph"/>
        <w:numPr>
          <w:ilvl w:val="0"/>
          <w:numId w:val="7"/>
        </w:numPr>
        <w:spacing w:before="120" w:after="240" w:line="240" w:lineRule="auto"/>
        <w:ind w:left="714" w:hanging="357"/>
        <w:jc w:val="both"/>
      </w:pPr>
      <w:r>
        <w:t>On-line tests</w:t>
      </w:r>
    </w:p>
    <w:p w14:paraId="6B7F85E2" w14:textId="77777777" w:rsidR="00195575" w:rsidRPr="001F1C58" w:rsidRDefault="00195575" w:rsidP="00195575">
      <w:pPr>
        <w:spacing w:before="120" w:after="240" w:line="240" w:lineRule="auto"/>
        <w:jc w:val="both"/>
      </w:pPr>
      <w:r w:rsidRPr="001F1C58">
        <w:t>The assessment methods will support and enhance the training with provisions having been made to identify at an early stage those participants who may require extra assistance to achieve the training outcomes.</w:t>
      </w:r>
    </w:p>
    <w:p w14:paraId="164026FD" w14:textId="77777777" w:rsidR="00195575" w:rsidRPr="001F1C58" w:rsidRDefault="00195575" w:rsidP="00195575">
      <w:pPr>
        <w:spacing w:before="120" w:after="240" w:line="240" w:lineRule="auto"/>
        <w:jc w:val="both"/>
      </w:pPr>
      <w:r w:rsidRPr="001F1C58">
        <w:t>Each participant will be required to reach a minimum level of competency in all aspects of the training programme in order to achieve certification.</w:t>
      </w:r>
    </w:p>
    <w:p w14:paraId="31D05D41" w14:textId="3E096444" w:rsidR="00195575" w:rsidRPr="001F1C58" w:rsidRDefault="00195575" w:rsidP="00195575">
      <w:pPr>
        <w:spacing w:before="120" w:after="240" w:line="240" w:lineRule="auto"/>
        <w:jc w:val="both"/>
      </w:pPr>
      <w:r w:rsidRPr="001F1C58">
        <w:t xml:space="preserve">Any person failing to meet the required standard will be advised of the areas of concern and given further coaching and re-tested to ensure </w:t>
      </w:r>
      <w:r w:rsidR="006E3F0C">
        <w:t>they</w:t>
      </w:r>
      <w:r w:rsidRPr="001F1C58">
        <w:t xml:space="preserve"> achieve the required standard.</w:t>
      </w:r>
    </w:p>
    <w:p w14:paraId="2196519E" w14:textId="77777777" w:rsidR="00195575" w:rsidRPr="001F1C58" w:rsidRDefault="00195575" w:rsidP="00195575">
      <w:pPr>
        <w:spacing w:before="120" w:after="120"/>
        <w:ind w:left="851" w:hanging="851"/>
        <w:jc w:val="both"/>
        <w:rPr>
          <w:b/>
        </w:rPr>
      </w:pPr>
      <w:r w:rsidRPr="001F1C58">
        <w:rPr>
          <w:b/>
        </w:rPr>
        <w:t>5.</w:t>
      </w:r>
      <w:r w:rsidRPr="001F1C58">
        <w:rPr>
          <w:b/>
        </w:rPr>
        <w:tab/>
        <w:t>Admission requirements</w:t>
      </w:r>
    </w:p>
    <w:p w14:paraId="1EC5ED6C" w14:textId="39E6C3C7" w:rsidR="00195575" w:rsidRPr="001F1C58" w:rsidRDefault="00195575" w:rsidP="00195575">
      <w:pPr>
        <w:spacing w:before="120" w:after="240" w:line="240" w:lineRule="auto"/>
        <w:jc w:val="both"/>
      </w:pPr>
      <w:r w:rsidRPr="001F1C58">
        <w:t xml:space="preserve">The Fertiliser Quality Council encourages all persons actively involved in, associated with, or interested in the placement of </w:t>
      </w:r>
      <w:r w:rsidR="000C2324">
        <w:t>nutrient</w:t>
      </w:r>
      <w:r w:rsidR="006E3F0C">
        <w:t xml:space="preserve"> products</w:t>
      </w:r>
      <w:r w:rsidRPr="001F1C58">
        <w:t xml:space="preserve"> in New Zealand to be trained in the requirements of the Spreadmark Code of Practice.  To facilitate this there should be no limitations of prior learning or employment placed on people entering this training.</w:t>
      </w:r>
    </w:p>
    <w:p w14:paraId="2A32059A" w14:textId="77777777" w:rsidR="00195575" w:rsidRPr="001F1C58" w:rsidRDefault="00195575" w:rsidP="00195575">
      <w:pPr>
        <w:spacing w:before="120" w:after="120"/>
        <w:ind w:left="851" w:hanging="851"/>
        <w:jc w:val="both"/>
        <w:rPr>
          <w:b/>
        </w:rPr>
      </w:pPr>
      <w:r w:rsidRPr="001F1C58">
        <w:rPr>
          <w:b/>
        </w:rPr>
        <w:t>6.</w:t>
      </w:r>
      <w:r w:rsidRPr="001F1C58">
        <w:rPr>
          <w:b/>
        </w:rPr>
        <w:tab/>
        <w:t>Certification</w:t>
      </w:r>
    </w:p>
    <w:p w14:paraId="5C0DB5B7" w14:textId="567A377C" w:rsidR="00195575" w:rsidRDefault="00195575" w:rsidP="00195575">
      <w:pPr>
        <w:spacing w:before="120" w:after="240" w:line="240" w:lineRule="auto"/>
        <w:jc w:val="both"/>
      </w:pPr>
      <w:r w:rsidRPr="00475539">
        <w:t>Certification is only</w:t>
      </w:r>
      <w:r w:rsidR="00036FA1" w:rsidRPr="00475539">
        <w:t xml:space="preserve"> </w:t>
      </w:r>
      <w:r w:rsidRPr="00475539">
        <w:t xml:space="preserve">available </w:t>
      </w:r>
      <w:r w:rsidR="006E3F0C" w:rsidRPr="00475539">
        <w:t>after</w:t>
      </w:r>
      <w:r w:rsidRPr="00475539">
        <w:t xml:space="preserve"> the successful completion of an approved training course by a registered provider.  This includes all on-course activities and evaluation tasks, and any pre- and/or post-course activities.</w:t>
      </w:r>
    </w:p>
    <w:p w14:paraId="15012658" w14:textId="69AE9EE9" w:rsidR="00195575" w:rsidRPr="00F96FFC" w:rsidRDefault="00195575" w:rsidP="00195575">
      <w:pPr>
        <w:jc w:val="both"/>
        <w:rPr>
          <w:u w:val="single"/>
        </w:rPr>
      </w:pPr>
      <w:r w:rsidRPr="00F96FFC">
        <w:rPr>
          <w:b/>
          <w:u w:val="single"/>
        </w:rPr>
        <w:t xml:space="preserve">Spreader Operator Training </w:t>
      </w:r>
      <w:r w:rsidR="00C87255">
        <w:rPr>
          <w:b/>
          <w:u w:val="single"/>
        </w:rPr>
        <w:t>Syl</w:t>
      </w:r>
      <w:r w:rsidR="00F407B1">
        <w:rPr>
          <w:b/>
          <w:u w:val="single"/>
        </w:rPr>
        <w:t>labus</w:t>
      </w:r>
      <w:r w:rsidRPr="00F96FFC">
        <w:rPr>
          <w:b/>
          <w:u w:val="single"/>
        </w:rPr>
        <w:t xml:space="preserve"> </w:t>
      </w:r>
    </w:p>
    <w:p w14:paraId="6828B0EB" w14:textId="77777777" w:rsidR="00195575" w:rsidRPr="001F1C58" w:rsidRDefault="00195575" w:rsidP="00195575">
      <w:pPr>
        <w:spacing w:before="240" w:after="120"/>
        <w:jc w:val="both"/>
        <w:rPr>
          <w:b/>
        </w:rPr>
      </w:pPr>
      <w:r w:rsidRPr="001F1C58">
        <w:rPr>
          <w:b/>
        </w:rPr>
        <w:t>Scope</w:t>
      </w:r>
    </w:p>
    <w:p w14:paraId="7C1814FD" w14:textId="0DD5456E" w:rsidR="00195575" w:rsidRPr="001F1C58" w:rsidRDefault="00195575" w:rsidP="00195575">
      <w:pPr>
        <w:spacing w:before="120" w:after="240" w:line="240" w:lineRule="auto"/>
        <w:jc w:val="both"/>
      </w:pPr>
      <w:r w:rsidRPr="001F1C58">
        <w:lastRenderedPageBreak/>
        <w:t xml:space="preserve">This material describes the outcomes sought of an operator training programme to be acceptable as suitable training for operators involved in the Spreadmark scheme.  The purpose of the training is to ensure that </w:t>
      </w:r>
      <w:r w:rsidR="000C2324">
        <w:t>nutrient</w:t>
      </w:r>
      <w:r w:rsidRPr="001F1C58">
        <w:t xml:space="preserve"> spreading </w:t>
      </w:r>
      <w:r w:rsidR="0006683C">
        <w:t>unit</w:t>
      </w:r>
      <w:r w:rsidRPr="001F1C58">
        <w:t xml:space="preserve"> operators are competent.</w:t>
      </w:r>
    </w:p>
    <w:p w14:paraId="42EA2426" w14:textId="278E13B8" w:rsidR="00195575" w:rsidRPr="00F96FFC" w:rsidRDefault="00195575" w:rsidP="00195575">
      <w:pPr>
        <w:spacing w:before="120" w:after="120"/>
        <w:ind w:left="851" w:hanging="851"/>
        <w:jc w:val="both"/>
        <w:rPr>
          <w:b/>
        </w:rPr>
      </w:pPr>
      <w:r w:rsidRPr="00F96FFC">
        <w:rPr>
          <w:b/>
        </w:rPr>
        <w:t xml:space="preserve">Outcomes of </w:t>
      </w:r>
      <w:r w:rsidR="00875F10">
        <w:rPr>
          <w:b/>
        </w:rPr>
        <w:t>T</w:t>
      </w:r>
      <w:r w:rsidRPr="00F96FFC">
        <w:rPr>
          <w:b/>
        </w:rPr>
        <w:t>raining</w:t>
      </w:r>
    </w:p>
    <w:p w14:paraId="2B79918F" w14:textId="5F03DD8C" w:rsidR="00195575" w:rsidRPr="001F1C58" w:rsidRDefault="00195575" w:rsidP="00195575">
      <w:pPr>
        <w:spacing w:before="120" w:after="240" w:line="240" w:lineRule="auto"/>
        <w:jc w:val="both"/>
      </w:pPr>
      <w:r w:rsidRPr="001F1C58">
        <w:t xml:space="preserve">The competence of </w:t>
      </w:r>
      <w:r w:rsidR="000C2324">
        <w:t>nutrient</w:t>
      </w:r>
      <w:r w:rsidRPr="001F1C58">
        <w:t xml:space="preserve"> spreading </w:t>
      </w:r>
      <w:r w:rsidR="00CA5615">
        <w:t>unit</w:t>
      </w:r>
      <w:r w:rsidRPr="001F1C58">
        <w:t xml:space="preserve"> operators is ensured by them completing a training course with the following training outcomes:</w:t>
      </w:r>
    </w:p>
    <w:p w14:paraId="71D1E6EC" w14:textId="325721BF" w:rsidR="00195575" w:rsidRPr="00875F10" w:rsidRDefault="00195575" w:rsidP="00195575">
      <w:pPr>
        <w:spacing w:before="120" w:after="120"/>
        <w:ind w:left="851" w:hanging="851"/>
        <w:jc w:val="both"/>
        <w:rPr>
          <w:b/>
        </w:rPr>
      </w:pPr>
      <w:r w:rsidRPr="00875F10">
        <w:rPr>
          <w:b/>
        </w:rPr>
        <w:t>1.</w:t>
      </w:r>
      <w:r w:rsidRPr="00875F10">
        <w:rPr>
          <w:b/>
        </w:rPr>
        <w:tab/>
      </w:r>
      <w:r w:rsidR="000C2324">
        <w:rPr>
          <w:b/>
        </w:rPr>
        <w:t>Nutrient</w:t>
      </w:r>
      <w:r w:rsidRPr="00875F10">
        <w:rPr>
          <w:b/>
        </w:rPr>
        <w:t xml:space="preserve"> knowledge</w:t>
      </w:r>
    </w:p>
    <w:p w14:paraId="1C94F2FC" w14:textId="2554BDD4" w:rsidR="00195575" w:rsidRPr="001F1C58" w:rsidRDefault="00195575" w:rsidP="00195575">
      <w:pPr>
        <w:spacing w:before="120" w:after="240" w:line="240" w:lineRule="auto"/>
        <w:jc w:val="both"/>
      </w:pPr>
      <w:r w:rsidRPr="001F1C58">
        <w:t xml:space="preserve">This will involve a basic knowledge of </w:t>
      </w:r>
      <w:r w:rsidR="000C2324">
        <w:t>nutrients including</w:t>
      </w:r>
      <w:r w:rsidRPr="001F1C58">
        <w:t xml:space="preserve"> lime.</w:t>
      </w:r>
    </w:p>
    <w:p w14:paraId="193A5BC8" w14:textId="77777777" w:rsidR="00195575" w:rsidRPr="001F1C58" w:rsidRDefault="00195575" w:rsidP="00195575">
      <w:pPr>
        <w:pStyle w:val="ListParagraph"/>
        <w:numPr>
          <w:ilvl w:val="0"/>
          <w:numId w:val="8"/>
        </w:numPr>
        <w:spacing w:before="120" w:after="240" w:line="240" w:lineRule="auto"/>
        <w:ind w:left="714" w:hanging="357"/>
        <w:jc w:val="both"/>
      </w:pPr>
      <w:r w:rsidRPr="001F1C58">
        <w:t>Types.</w:t>
      </w:r>
    </w:p>
    <w:p w14:paraId="6EDFBDE7" w14:textId="77777777" w:rsidR="00195575" w:rsidRPr="001F1C58" w:rsidRDefault="00195575" w:rsidP="00195575">
      <w:pPr>
        <w:pStyle w:val="ListParagraph"/>
        <w:numPr>
          <w:ilvl w:val="0"/>
          <w:numId w:val="8"/>
        </w:numPr>
        <w:spacing w:before="120" w:after="240" w:line="240" w:lineRule="auto"/>
        <w:ind w:left="714" w:hanging="357"/>
        <w:jc w:val="both"/>
      </w:pPr>
      <w:r w:rsidRPr="001F1C58">
        <w:t>Safety Data Sheets.</w:t>
      </w:r>
    </w:p>
    <w:p w14:paraId="1885343E" w14:textId="267F2FA4" w:rsidR="00195575" w:rsidRPr="001F1C58" w:rsidRDefault="00195575" w:rsidP="00195575">
      <w:pPr>
        <w:pStyle w:val="ListParagraph"/>
        <w:numPr>
          <w:ilvl w:val="0"/>
          <w:numId w:val="8"/>
        </w:numPr>
        <w:spacing w:before="120" w:after="240" w:line="240" w:lineRule="auto"/>
        <w:ind w:left="714" w:hanging="357"/>
        <w:jc w:val="both"/>
      </w:pPr>
      <w:r w:rsidRPr="001F1C58">
        <w:t xml:space="preserve">Factors which could lead to problems e.g. mixes of </w:t>
      </w:r>
      <w:r w:rsidR="000C2324">
        <w:t>products</w:t>
      </w:r>
      <w:r w:rsidRPr="001F1C58">
        <w:t xml:space="preserve"> with very different particle sizes (SGN) or incompatible mixes.</w:t>
      </w:r>
    </w:p>
    <w:p w14:paraId="4931E299" w14:textId="3B80EEFE" w:rsidR="00195575" w:rsidRPr="001F1C58" w:rsidRDefault="00195575" w:rsidP="00195575">
      <w:pPr>
        <w:pStyle w:val="ListParagraph"/>
        <w:numPr>
          <w:ilvl w:val="0"/>
          <w:numId w:val="8"/>
        </w:numPr>
        <w:spacing w:before="120" w:after="240" w:line="240" w:lineRule="auto"/>
        <w:ind w:left="714" w:hanging="357"/>
        <w:jc w:val="both"/>
      </w:pPr>
      <w:r w:rsidRPr="001F1C58">
        <w:t xml:space="preserve">How the bulk density (BD), SGN and uniformity index (UI) of various </w:t>
      </w:r>
      <w:r w:rsidR="000C2324">
        <w:t>products</w:t>
      </w:r>
      <w:r w:rsidRPr="001F1C58">
        <w:t xml:space="preserve"> interact and affect how well various </w:t>
      </w:r>
      <w:r w:rsidR="000C2324">
        <w:t>products</w:t>
      </w:r>
      <w:r w:rsidRPr="001F1C58">
        <w:t xml:space="preserve"> can be spread.</w:t>
      </w:r>
    </w:p>
    <w:p w14:paraId="19CEEAA4" w14:textId="77777777" w:rsidR="00195575" w:rsidRPr="001F1C58" w:rsidRDefault="00195575" w:rsidP="00195575">
      <w:pPr>
        <w:pStyle w:val="ListParagraph"/>
        <w:numPr>
          <w:ilvl w:val="0"/>
          <w:numId w:val="8"/>
        </w:numPr>
        <w:spacing w:before="120" w:after="240" w:line="240" w:lineRule="auto"/>
        <w:ind w:left="714" w:hanging="357"/>
        <w:jc w:val="both"/>
      </w:pPr>
      <w:r w:rsidRPr="001F1C58">
        <w:t>How to measure SGN and BD with a sieve box.</w:t>
      </w:r>
    </w:p>
    <w:p w14:paraId="320C4E00" w14:textId="77777777" w:rsidR="00195575" w:rsidRPr="00875F10" w:rsidRDefault="00195575" w:rsidP="00195575">
      <w:pPr>
        <w:spacing w:before="120" w:after="120"/>
        <w:ind w:left="851" w:hanging="851"/>
        <w:jc w:val="both"/>
        <w:rPr>
          <w:b/>
        </w:rPr>
      </w:pPr>
      <w:r w:rsidRPr="00875F10">
        <w:rPr>
          <w:b/>
        </w:rPr>
        <w:t>2.</w:t>
      </w:r>
      <w:r w:rsidRPr="00875F10">
        <w:rPr>
          <w:b/>
        </w:rPr>
        <w:tab/>
        <w:t>Spreader skills</w:t>
      </w:r>
    </w:p>
    <w:p w14:paraId="1D19273A" w14:textId="77777777" w:rsidR="00195575" w:rsidRPr="001F1C58" w:rsidRDefault="00195575" w:rsidP="00BB512B">
      <w:pPr>
        <w:spacing w:before="120" w:after="240" w:line="240" w:lineRule="auto"/>
        <w:ind w:firstLine="357"/>
        <w:jc w:val="both"/>
      </w:pPr>
      <w:r w:rsidRPr="001F1C58">
        <w:t>The operator skills relating to spreaders are:</w:t>
      </w:r>
    </w:p>
    <w:p w14:paraId="69028BA6" w14:textId="77777777" w:rsidR="00195575" w:rsidRPr="001F1C58" w:rsidRDefault="00195575" w:rsidP="00195575">
      <w:pPr>
        <w:pStyle w:val="ListParagraph"/>
        <w:numPr>
          <w:ilvl w:val="0"/>
          <w:numId w:val="9"/>
        </w:numPr>
        <w:spacing w:before="120" w:after="240" w:line="240" w:lineRule="auto"/>
        <w:ind w:left="714" w:hanging="357"/>
        <w:jc w:val="both"/>
      </w:pPr>
      <w:r w:rsidRPr="001F1C58">
        <w:t>Consequences of poor spreading (agronomic and environmental), awareness of the influence of wind.</w:t>
      </w:r>
    </w:p>
    <w:p w14:paraId="21B44642" w14:textId="7473FECA" w:rsidR="00195575" w:rsidRPr="001F1C58" w:rsidRDefault="00195575" w:rsidP="00195575">
      <w:pPr>
        <w:pStyle w:val="ListParagraph"/>
        <w:numPr>
          <w:ilvl w:val="0"/>
          <w:numId w:val="9"/>
        </w:numPr>
        <w:spacing w:before="120" w:after="240" w:line="240" w:lineRule="auto"/>
        <w:ind w:left="714" w:hanging="357"/>
        <w:jc w:val="both"/>
      </w:pPr>
      <w:r w:rsidRPr="001F1C58">
        <w:t xml:space="preserve">Choosing an appropriate bout width (BW) for particular loads of </w:t>
      </w:r>
      <w:r w:rsidR="004472F7">
        <w:t>product</w:t>
      </w:r>
      <w:r w:rsidRPr="001F1C58">
        <w:t>.</w:t>
      </w:r>
    </w:p>
    <w:p w14:paraId="1BF81B7C" w14:textId="01036DDF" w:rsidR="00195575" w:rsidRPr="001F1C58" w:rsidRDefault="00195575" w:rsidP="00195575">
      <w:pPr>
        <w:pStyle w:val="ListParagraph"/>
        <w:numPr>
          <w:ilvl w:val="0"/>
          <w:numId w:val="9"/>
        </w:numPr>
        <w:spacing w:before="120" w:after="240" w:line="240" w:lineRule="auto"/>
        <w:ind w:left="714" w:hanging="357"/>
        <w:jc w:val="both"/>
      </w:pPr>
      <w:r w:rsidRPr="001F1C58">
        <w:t xml:space="preserve">Interpreting information to be able to know what settings on spreading </w:t>
      </w:r>
      <w:r w:rsidR="00CA5615">
        <w:t>units</w:t>
      </w:r>
      <w:r w:rsidRPr="001F1C58">
        <w:t xml:space="preserve"> are needed for various </w:t>
      </w:r>
      <w:r w:rsidR="004472F7">
        <w:t>product</w:t>
      </w:r>
      <w:r w:rsidRPr="001F1C58">
        <w:t xml:space="preserve">s and </w:t>
      </w:r>
      <w:r w:rsidR="004472F7">
        <w:t>product</w:t>
      </w:r>
      <w:r w:rsidRPr="001F1C58">
        <w:t xml:space="preserve"> characteristics in order to achieve the correct application and BW.</w:t>
      </w:r>
    </w:p>
    <w:p w14:paraId="18431ECB" w14:textId="4F3F3A1C" w:rsidR="00195575" w:rsidRPr="001F1C58" w:rsidRDefault="00195575" w:rsidP="00195575">
      <w:pPr>
        <w:pStyle w:val="ListParagraph"/>
        <w:numPr>
          <w:ilvl w:val="0"/>
          <w:numId w:val="9"/>
        </w:numPr>
        <w:spacing w:before="120" w:after="240" w:line="240" w:lineRule="auto"/>
        <w:ind w:left="714" w:hanging="357"/>
        <w:jc w:val="both"/>
      </w:pPr>
      <w:r w:rsidRPr="001F1C58">
        <w:t xml:space="preserve">Adjusting spreader </w:t>
      </w:r>
      <w:r w:rsidR="003736B2">
        <w:t>units</w:t>
      </w:r>
      <w:r w:rsidRPr="001F1C58">
        <w:t>.</w:t>
      </w:r>
    </w:p>
    <w:p w14:paraId="620114CE" w14:textId="77777777" w:rsidR="00195575" w:rsidRPr="001F1C58" w:rsidRDefault="00195575" w:rsidP="00195575">
      <w:pPr>
        <w:pStyle w:val="ListParagraph"/>
        <w:numPr>
          <w:ilvl w:val="0"/>
          <w:numId w:val="9"/>
        </w:numPr>
        <w:spacing w:before="120" w:after="240" w:line="240" w:lineRule="auto"/>
        <w:ind w:left="714" w:hanging="357"/>
        <w:jc w:val="both"/>
      </w:pPr>
      <w:r w:rsidRPr="001F1C58">
        <w:t>Factors affecting the performance of the machine over time (build-up).</w:t>
      </w:r>
    </w:p>
    <w:p w14:paraId="5E88127A" w14:textId="77777777" w:rsidR="00195575" w:rsidRPr="001F1C58" w:rsidRDefault="00195575" w:rsidP="00195575">
      <w:pPr>
        <w:pStyle w:val="ListParagraph"/>
        <w:numPr>
          <w:ilvl w:val="0"/>
          <w:numId w:val="9"/>
        </w:numPr>
        <w:spacing w:before="120" w:after="240" w:line="240" w:lineRule="auto"/>
        <w:ind w:left="714" w:hanging="357"/>
        <w:jc w:val="both"/>
      </w:pPr>
      <w:r w:rsidRPr="001F1C58">
        <w:t>Handling spillages.</w:t>
      </w:r>
    </w:p>
    <w:p w14:paraId="00CE5643" w14:textId="77777777" w:rsidR="009A0770" w:rsidRDefault="00195575" w:rsidP="009A0770">
      <w:pPr>
        <w:pStyle w:val="ListParagraph"/>
        <w:numPr>
          <w:ilvl w:val="0"/>
          <w:numId w:val="10"/>
        </w:numPr>
        <w:spacing w:before="120" w:after="240" w:line="240" w:lineRule="auto"/>
        <w:ind w:left="714" w:hanging="357"/>
        <w:jc w:val="both"/>
      </w:pPr>
      <w:r w:rsidRPr="001F1C58">
        <w:t>Being able to operate to a particular bout width.</w:t>
      </w:r>
    </w:p>
    <w:p w14:paraId="779DFDAD" w14:textId="1A448A3E" w:rsidR="004D274D" w:rsidRDefault="00145118" w:rsidP="009A0770">
      <w:pPr>
        <w:pStyle w:val="ListParagraph"/>
        <w:numPr>
          <w:ilvl w:val="0"/>
          <w:numId w:val="10"/>
        </w:numPr>
        <w:spacing w:before="120" w:after="240" w:line="240" w:lineRule="auto"/>
        <w:ind w:left="714" w:hanging="357"/>
        <w:jc w:val="both"/>
      </w:pPr>
      <w:r>
        <w:t>M</w:t>
      </w:r>
      <w:r w:rsidR="001E092E">
        <w:t>anag</w:t>
      </w:r>
      <w:r>
        <w:t>ing</w:t>
      </w:r>
      <w:r w:rsidR="001E092E">
        <w:t xml:space="preserve"> </w:t>
      </w:r>
      <w:r w:rsidR="00BF1D04">
        <w:t>risk if</w:t>
      </w:r>
      <w:r>
        <w:t xml:space="preserve"> the operator </w:t>
      </w:r>
      <w:r w:rsidR="00261CC5">
        <w:t xml:space="preserve">has responsibility for that. </w:t>
      </w:r>
    </w:p>
    <w:p w14:paraId="344307E4" w14:textId="7B9AAAF9" w:rsidR="00195575" w:rsidRPr="00F55B06" w:rsidRDefault="00195575" w:rsidP="00F55B06">
      <w:pPr>
        <w:spacing w:before="120" w:after="240" w:line="240" w:lineRule="auto"/>
        <w:ind w:firstLine="357"/>
        <w:jc w:val="both"/>
        <w:rPr>
          <w:b/>
          <w:bCs/>
        </w:rPr>
      </w:pPr>
      <w:r>
        <w:rPr>
          <w:b/>
          <w:bCs/>
        </w:rPr>
        <w:t xml:space="preserve">Skills </w:t>
      </w:r>
      <w:r w:rsidRPr="00F55B06">
        <w:rPr>
          <w:b/>
          <w:bCs/>
        </w:rPr>
        <w:t>specific to aerial spreaders</w:t>
      </w:r>
    </w:p>
    <w:p w14:paraId="35ABFA97" w14:textId="55F8BBF1" w:rsidR="00912B9B" w:rsidRPr="00BF1D04" w:rsidRDefault="00195575" w:rsidP="009E4360">
      <w:pPr>
        <w:pStyle w:val="ListParagraph"/>
        <w:numPr>
          <w:ilvl w:val="0"/>
          <w:numId w:val="19"/>
        </w:numPr>
        <w:spacing w:before="120" w:after="240" w:line="240" w:lineRule="auto"/>
        <w:jc w:val="both"/>
        <w:rPr>
          <w:rFonts w:asciiTheme="minorHAnsi" w:eastAsia="Arial" w:hAnsiTheme="minorHAnsi" w:cstheme="minorHAnsi"/>
        </w:rPr>
      </w:pPr>
      <w:r w:rsidRPr="00BF1D04">
        <w:rPr>
          <w:rFonts w:asciiTheme="minorHAnsi" w:eastAsia="Arial" w:hAnsiTheme="minorHAnsi" w:cstheme="minorHAnsi"/>
        </w:rPr>
        <w:t xml:space="preserve">The pilot of any aircraft </w:t>
      </w:r>
      <w:r w:rsidR="005B4852" w:rsidRPr="00BF1D04">
        <w:rPr>
          <w:rFonts w:asciiTheme="minorHAnsi" w:eastAsia="Arial" w:hAnsiTheme="minorHAnsi" w:cstheme="minorHAnsi"/>
        </w:rPr>
        <w:t xml:space="preserve">and UAV operators </w:t>
      </w:r>
      <w:r w:rsidRPr="00BF1D04">
        <w:rPr>
          <w:rFonts w:asciiTheme="minorHAnsi" w:eastAsia="Arial" w:hAnsiTheme="minorHAnsi" w:cstheme="minorHAnsi"/>
        </w:rPr>
        <w:t xml:space="preserve">shall hold a current agricultural </w:t>
      </w:r>
      <w:r w:rsidR="001764C5" w:rsidRPr="00BF1D04">
        <w:rPr>
          <w:rFonts w:asciiTheme="minorHAnsi" w:eastAsia="Arial" w:hAnsiTheme="minorHAnsi" w:cstheme="minorHAnsi"/>
        </w:rPr>
        <w:t>pilot topdressing rating</w:t>
      </w:r>
      <w:r w:rsidR="00A344C1" w:rsidRPr="00BF1D04">
        <w:rPr>
          <w:rFonts w:asciiTheme="minorHAnsi" w:eastAsia="Arial" w:hAnsiTheme="minorHAnsi" w:cstheme="minorHAnsi"/>
        </w:rPr>
        <w:t xml:space="preserve"> </w:t>
      </w:r>
      <w:r w:rsidRPr="00BF1D04">
        <w:rPr>
          <w:rFonts w:asciiTheme="minorHAnsi" w:eastAsia="Arial" w:hAnsiTheme="minorHAnsi" w:cstheme="minorHAnsi"/>
        </w:rPr>
        <w:t xml:space="preserve">and chemical rating </w:t>
      </w:r>
      <w:r w:rsidR="00125618" w:rsidRPr="00BF1D04">
        <w:rPr>
          <w:rFonts w:asciiTheme="minorHAnsi" w:eastAsia="Arial" w:hAnsiTheme="minorHAnsi" w:cstheme="minorHAnsi"/>
        </w:rPr>
        <w:t xml:space="preserve">(if applicable) </w:t>
      </w:r>
      <w:r w:rsidRPr="00BF1D04">
        <w:rPr>
          <w:rFonts w:asciiTheme="minorHAnsi" w:eastAsia="Arial" w:hAnsiTheme="minorHAnsi" w:cstheme="minorHAnsi"/>
        </w:rPr>
        <w:t>to apply nutrient</w:t>
      </w:r>
      <w:r w:rsidR="00396519" w:rsidRPr="00BF1D04">
        <w:rPr>
          <w:rFonts w:asciiTheme="minorHAnsi" w:eastAsia="Arial" w:hAnsiTheme="minorHAnsi" w:cstheme="minorHAnsi"/>
        </w:rPr>
        <w:t>s</w:t>
      </w:r>
      <w:r w:rsidRPr="00BF1D04">
        <w:rPr>
          <w:rFonts w:asciiTheme="minorHAnsi" w:eastAsia="Arial" w:hAnsiTheme="minorHAnsi" w:cstheme="minorHAnsi"/>
        </w:rPr>
        <w:t xml:space="preserve"> by air</w:t>
      </w:r>
      <w:r w:rsidR="004A6477" w:rsidRPr="00BF1D04">
        <w:rPr>
          <w:rFonts w:asciiTheme="minorHAnsi" w:eastAsia="Arial" w:hAnsiTheme="minorHAnsi" w:cstheme="minorHAnsi"/>
        </w:rPr>
        <w:t>;</w:t>
      </w:r>
    </w:p>
    <w:p w14:paraId="631C0B95" w14:textId="77777777" w:rsidR="00F55B06" w:rsidRPr="00200812" w:rsidRDefault="00F55B06" w:rsidP="00200812">
      <w:pPr>
        <w:spacing w:before="120" w:after="240" w:line="240" w:lineRule="auto"/>
        <w:ind w:left="357"/>
        <w:jc w:val="both"/>
        <w:rPr>
          <w:rFonts w:asciiTheme="minorHAnsi" w:eastAsia="Arial" w:hAnsiTheme="minorHAnsi" w:cstheme="minorHAnsi"/>
        </w:rPr>
      </w:pPr>
      <w:r w:rsidRPr="00200812">
        <w:rPr>
          <w:rFonts w:asciiTheme="minorHAnsi" w:eastAsia="Arial" w:hAnsiTheme="minorHAnsi" w:cstheme="minorHAnsi"/>
        </w:rPr>
        <w:t xml:space="preserve">Note </w:t>
      </w:r>
    </w:p>
    <w:p w14:paraId="45F534FC" w14:textId="77777777" w:rsidR="00F55B06" w:rsidRPr="002D413C" w:rsidRDefault="00F55B06" w:rsidP="00200812">
      <w:pPr>
        <w:spacing w:before="120" w:after="240" w:line="240" w:lineRule="auto"/>
        <w:ind w:left="357"/>
        <w:jc w:val="both"/>
        <w:rPr>
          <w:rFonts w:asciiTheme="minorHAnsi" w:eastAsia="Arial" w:hAnsiTheme="minorHAnsi" w:cstheme="minorHAnsi"/>
          <w:i/>
          <w:iCs/>
        </w:rPr>
      </w:pPr>
      <w:r w:rsidRPr="002D413C">
        <w:rPr>
          <w:rFonts w:asciiTheme="minorHAnsi" w:eastAsia="Arial" w:hAnsiTheme="minorHAnsi" w:cstheme="minorHAnsi"/>
          <w:i/>
          <w:iCs/>
        </w:rPr>
        <w:t>CAA Advisory Circular AC 61 – 1.15 provides information on the training syllabus content that is acceptable to the Director for meeting the Civil Aviation Rule requirements for the issue of an Agricultural Rating. This Advisory Circular relates specifically to Civil Aviation Rule Part 61 Subpart O – Agricultural ratings.</w:t>
      </w:r>
    </w:p>
    <w:p w14:paraId="66A19B57" w14:textId="4F7AD900" w:rsidR="00195575" w:rsidRPr="002D413C" w:rsidRDefault="00F55B06" w:rsidP="00C0581A">
      <w:pPr>
        <w:spacing w:before="120" w:after="240" w:line="240" w:lineRule="auto"/>
        <w:ind w:left="357"/>
        <w:jc w:val="both"/>
        <w:rPr>
          <w:rFonts w:asciiTheme="minorHAnsi" w:eastAsia="Arial" w:hAnsiTheme="minorHAnsi" w:cstheme="minorHAnsi"/>
          <w:i/>
          <w:iCs/>
        </w:rPr>
      </w:pPr>
      <w:r w:rsidRPr="002D413C">
        <w:rPr>
          <w:rFonts w:asciiTheme="minorHAnsi" w:eastAsia="Arial" w:hAnsiTheme="minorHAnsi" w:cstheme="minorHAnsi"/>
          <w:i/>
          <w:iCs/>
        </w:rPr>
        <w:t>CAA Advisory Circular AC102-1 provides information for the requirements of a Part 102 certificate and qualifications acceptable to the Director for agricultural operations undertaken by UAV’s.</w:t>
      </w:r>
    </w:p>
    <w:p w14:paraId="60D148C5" w14:textId="77777777" w:rsidR="00195575" w:rsidRPr="00875F10" w:rsidRDefault="00195575" w:rsidP="00195575">
      <w:pPr>
        <w:spacing w:before="120" w:after="120"/>
        <w:ind w:left="851" w:hanging="851"/>
        <w:jc w:val="both"/>
        <w:rPr>
          <w:b/>
        </w:rPr>
      </w:pPr>
      <w:r w:rsidRPr="00875F10">
        <w:rPr>
          <w:b/>
        </w:rPr>
        <w:t>3.</w:t>
      </w:r>
      <w:r w:rsidRPr="00875F10">
        <w:rPr>
          <w:b/>
        </w:rPr>
        <w:tab/>
        <w:t>Communication skills</w:t>
      </w:r>
    </w:p>
    <w:p w14:paraId="57E1AA8C" w14:textId="4835CCEE" w:rsidR="00195575" w:rsidRPr="001F1C58" w:rsidRDefault="00195575" w:rsidP="00195575">
      <w:pPr>
        <w:spacing w:before="120" w:after="240" w:line="240" w:lineRule="auto"/>
        <w:jc w:val="both"/>
      </w:pPr>
      <w:r w:rsidRPr="001F1C58">
        <w:lastRenderedPageBreak/>
        <w:t xml:space="preserve">Sufficient communication skills with farmers to ensure that the </w:t>
      </w:r>
      <w:r w:rsidR="00FF4605">
        <w:t>nutrient</w:t>
      </w:r>
      <w:r w:rsidRPr="001F1C58">
        <w:t xml:space="preserve"> is applied in the correct place and that local hazards are identified.</w:t>
      </w:r>
    </w:p>
    <w:p w14:paraId="075895CE" w14:textId="77777777" w:rsidR="00195575" w:rsidRPr="00875F10" w:rsidRDefault="00195575" w:rsidP="00195575">
      <w:pPr>
        <w:spacing w:before="120" w:after="120"/>
        <w:ind w:left="851" w:hanging="851"/>
        <w:jc w:val="both"/>
        <w:rPr>
          <w:b/>
        </w:rPr>
      </w:pPr>
      <w:r w:rsidRPr="00875F10">
        <w:rPr>
          <w:b/>
        </w:rPr>
        <w:t>4.</w:t>
      </w:r>
      <w:r w:rsidRPr="00875F10">
        <w:rPr>
          <w:b/>
        </w:rPr>
        <w:tab/>
        <w:t>Environmental awareness</w:t>
      </w:r>
    </w:p>
    <w:p w14:paraId="35001F44" w14:textId="1D7B5019" w:rsidR="006C3C26" w:rsidRDefault="00195575" w:rsidP="006C3C26">
      <w:pPr>
        <w:spacing w:before="120" w:after="240" w:line="240" w:lineRule="auto"/>
        <w:jc w:val="both"/>
      </w:pPr>
      <w:bookmarkStart w:id="6" w:name="_Hlk157086746"/>
      <w:r w:rsidRPr="003E5BE7">
        <w:t xml:space="preserve">An awareness of the consequences for stock health and </w:t>
      </w:r>
      <w:r w:rsidR="002F5930">
        <w:t xml:space="preserve">the </w:t>
      </w:r>
      <w:r w:rsidRPr="003E5BE7">
        <w:t xml:space="preserve">environment from </w:t>
      </w:r>
      <w:r w:rsidR="006460DE">
        <w:t xml:space="preserve">the application of </w:t>
      </w:r>
      <w:r w:rsidR="000676F5">
        <w:t>nutrient</w:t>
      </w:r>
      <w:r w:rsidR="00B2702B">
        <w:t>s</w:t>
      </w:r>
      <w:r w:rsidRPr="003E5BE7">
        <w:t>,</w:t>
      </w:r>
      <w:r w:rsidR="002F5930">
        <w:t xml:space="preserve"> along with </w:t>
      </w:r>
      <w:r w:rsidRPr="003E5BE7">
        <w:t xml:space="preserve">actions </w:t>
      </w:r>
      <w:r w:rsidR="002F5930">
        <w:t xml:space="preserve">that can mitigate </w:t>
      </w:r>
      <w:r w:rsidR="009C23A1">
        <w:t xml:space="preserve">these consequences </w:t>
      </w:r>
      <w:bookmarkEnd w:id="6"/>
      <w:r w:rsidR="005C4DD0">
        <w:t>contained in various documents</w:t>
      </w:r>
      <w:r w:rsidR="00213714">
        <w:t>, for example</w:t>
      </w:r>
      <w:r w:rsidR="00213714" w:rsidRPr="00213714">
        <w:t xml:space="preserve"> </w:t>
      </w:r>
      <w:r w:rsidR="0080635B">
        <w:t xml:space="preserve">those listed on </w:t>
      </w:r>
      <w:r w:rsidR="00213714" w:rsidRPr="00213714">
        <w:t xml:space="preserve">the Ministry for Primary Industries website </w:t>
      </w:r>
      <w:hyperlink r:id="rId15" w:history="1">
        <w:r w:rsidR="00642FEC" w:rsidRPr="00577092">
          <w:rPr>
            <w:rStyle w:val="Hyperlink"/>
          </w:rPr>
          <w:t>https://www.groundrules.mpi.govt.nz/</w:t>
        </w:r>
      </w:hyperlink>
      <w:r w:rsidR="00642FEC">
        <w:t xml:space="preserve"> </w:t>
      </w:r>
    </w:p>
    <w:p w14:paraId="7BEC6342" w14:textId="77777777" w:rsidR="000211EC" w:rsidRDefault="000211EC" w:rsidP="00AD17D5"/>
    <w:p w14:paraId="3525BFE0" w14:textId="59F3E02F" w:rsidR="00AD17D5" w:rsidRPr="00F3196D" w:rsidRDefault="00AD17D5" w:rsidP="00AD17D5">
      <w:r w:rsidRPr="00F3196D">
        <w:t xml:space="preserve">A link to the Groundspread Nutrient Application for Primary Industry Micro-credential can be found here: </w:t>
      </w:r>
      <w:hyperlink r:id="rId16" w:history="1">
        <w:r w:rsidRPr="00F3196D">
          <w:rPr>
            <w:rStyle w:val="Hyperlink"/>
          </w:rPr>
          <w:t>https://www.nzqa.govt.nz/nzqf/search/viewQualification.do?selectedItemKey=4914</w:t>
        </w:r>
      </w:hyperlink>
    </w:p>
    <w:p w14:paraId="043ECD9E" w14:textId="77777777" w:rsidR="00AD17D5" w:rsidRPr="00F3196D" w:rsidRDefault="00AD17D5" w:rsidP="00AD17D5">
      <w:r w:rsidRPr="00F3196D">
        <w:t xml:space="preserve">Unit standards relevant for Spreadmark Training providers from within this micro-credential are listed here:  </w:t>
      </w:r>
    </w:p>
    <w:p w14:paraId="7862E6AF" w14:textId="77777777" w:rsidR="00AD17D5" w:rsidRPr="00F3196D" w:rsidRDefault="00AD17D5" w:rsidP="00AD17D5">
      <w:pPr>
        <w:pStyle w:val="ListParagraph"/>
        <w:numPr>
          <w:ilvl w:val="0"/>
          <w:numId w:val="39"/>
        </w:numPr>
        <w:spacing w:after="160" w:line="259" w:lineRule="auto"/>
      </w:pPr>
      <w:r w:rsidRPr="00991D13">
        <w:rPr>
          <w:u w:val="single"/>
        </w:rPr>
        <w:t>Unit Standard 19370</w:t>
      </w:r>
      <w:r w:rsidRPr="00F3196D">
        <w:t xml:space="preserve">: </w:t>
      </w:r>
      <w:r w:rsidRPr="00F3196D">
        <w:rPr>
          <w:b/>
          <w:bCs/>
        </w:rPr>
        <w:t>Demonstrate knowledge of the Spreadmark Code of Practice as it applies to nutrient application.</w:t>
      </w:r>
    </w:p>
    <w:p w14:paraId="0538C1F0" w14:textId="77777777" w:rsidR="00AD17D5" w:rsidRPr="00F3196D" w:rsidRDefault="00F63762" w:rsidP="00AD17D5">
      <w:pPr>
        <w:pStyle w:val="ListParagraph"/>
        <w:numPr>
          <w:ilvl w:val="1"/>
          <w:numId w:val="39"/>
        </w:numPr>
        <w:spacing w:after="160" w:line="259" w:lineRule="auto"/>
      </w:pPr>
      <w:hyperlink r:id="rId17" w:history="1">
        <w:r w:rsidR="00AD17D5" w:rsidRPr="00F3196D">
          <w:rPr>
            <w:rStyle w:val="Hyperlink"/>
          </w:rPr>
          <w:t>Framework search results (nzqa.govt.nz)</w:t>
        </w:r>
      </w:hyperlink>
    </w:p>
    <w:p w14:paraId="6D74B920" w14:textId="77777777" w:rsidR="00AD17D5" w:rsidRPr="00F3196D" w:rsidRDefault="00F63762" w:rsidP="00AD17D5">
      <w:pPr>
        <w:pStyle w:val="ListParagraph"/>
        <w:numPr>
          <w:ilvl w:val="1"/>
          <w:numId w:val="39"/>
        </w:numPr>
        <w:spacing w:after="160" w:line="259" w:lineRule="auto"/>
      </w:pPr>
      <w:hyperlink r:id="rId18" w:history="1">
        <w:r w:rsidR="00AD17D5" w:rsidRPr="00F3196D">
          <w:rPr>
            <w:rStyle w:val="Hyperlink"/>
          </w:rPr>
          <w:t>19370.pdf (nzqa.govt.nz)</w:t>
        </w:r>
      </w:hyperlink>
    </w:p>
    <w:p w14:paraId="31EEEF85" w14:textId="77777777" w:rsidR="00AD17D5" w:rsidRPr="00F3196D" w:rsidRDefault="00AD17D5" w:rsidP="00AD17D5">
      <w:pPr>
        <w:pStyle w:val="ListParagraph"/>
        <w:numPr>
          <w:ilvl w:val="0"/>
          <w:numId w:val="39"/>
        </w:numPr>
        <w:spacing w:after="160" w:line="259" w:lineRule="auto"/>
        <w:rPr>
          <w:b/>
          <w:bCs/>
        </w:rPr>
      </w:pPr>
      <w:r w:rsidRPr="00991D13">
        <w:rPr>
          <w:u w:val="single"/>
        </w:rPr>
        <w:t>Unit Standard 19372</w:t>
      </w:r>
      <w:r w:rsidRPr="00F3196D">
        <w:t xml:space="preserve">: </w:t>
      </w:r>
      <w:r w:rsidRPr="00F3196D">
        <w:rPr>
          <w:b/>
          <w:bCs/>
        </w:rPr>
        <w:t>Describe the environmental implications of applying nutrients and associated activities.</w:t>
      </w:r>
    </w:p>
    <w:p w14:paraId="36679490" w14:textId="77777777" w:rsidR="00AD17D5" w:rsidRPr="00F3196D" w:rsidRDefault="00F63762" w:rsidP="00AD17D5">
      <w:pPr>
        <w:pStyle w:val="ListParagraph"/>
        <w:numPr>
          <w:ilvl w:val="1"/>
          <w:numId w:val="39"/>
        </w:numPr>
        <w:spacing w:after="160" w:line="259" w:lineRule="auto"/>
      </w:pPr>
      <w:hyperlink r:id="rId19" w:history="1">
        <w:r w:rsidR="00AD17D5" w:rsidRPr="00F3196D">
          <w:rPr>
            <w:rStyle w:val="Hyperlink"/>
          </w:rPr>
          <w:t>Standard 19372 (nzqa.govt.nz)</w:t>
        </w:r>
      </w:hyperlink>
    </w:p>
    <w:p w14:paraId="3EBB2A96" w14:textId="77777777" w:rsidR="00AD17D5" w:rsidRPr="00F3196D" w:rsidRDefault="00F63762" w:rsidP="00AD17D5">
      <w:pPr>
        <w:pStyle w:val="ListParagraph"/>
        <w:numPr>
          <w:ilvl w:val="1"/>
          <w:numId w:val="39"/>
        </w:numPr>
        <w:spacing w:after="160" w:line="259" w:lineRule="auto"/>
      </w:pPr>
      <w:hyperlink r:id="rId20" w:history="1">
        <w:r w:rsidR="00AD17D5" w:rsidRPr="00F3196D">
          <w:rPr>
            <w:rStyle w:val="Hyperlink"/>
          </w:rPr>
          <w:t>19372.pdf (nzqa.govt.nz)</w:t>
        </w:r>
      </w:hyperlink>
    </w:p>
    <w:p w14:paraId="2D5D80E7" w14:textId="77777777" w:rsidR="00AD17D5" w:rsidRPr="00F3196D" w:rsidRDefault="00AD17D5" w:rsidP="00AD17D5">
      <w:pPr>
        <w:pStyle w:val="ListParagraph"/>
        <w:numPr>
          <w:ilvl w:val="0"/>
          <w:numId w:val="39"/>
        </w:numPr>
        <w:spacing w:after="160" w:line="259" w:lineRule="auto"/>
        <w:rPr>
          <w:b/>
          <w:bCs/>
        </w:rPr>
      </w:pPr>
      <w:r w:rsidRPr="00991D13">
        <w:rPr>
          <w:u w:val="single"/>
        </w:rPr>
        <w:t>Unit Standard 19373</w:t>
      </w:r>
      <w:r w:rsidRPr="00F3196D">
        <w:t xml:space="preserve">: </w:t>
      </w:r>
      <w:r w:rsidRPr="00F3196D">
        <w:rPr>
          <w:b/>
          <w:bCs/>
        </w:rPr>
        <w:t>Demonstrate knowledge of nutrients, and the implications for handling and applying nutrients.</w:t>
      </w:r>
    </w:p>
    <w:p w14:paraId="7726F189" w14:textId="77777777" w:rsidR="00AD17D5" w:rsidRPr="00F3196D" w:rsidRDefault="00F63762" w:rsidP="00AD17D5">
      <w:pPr>
        <w:pStyle w:val="ListParagraph"/>
        <w:numPr>
          <w:ilvl w:val="1"/>
          <w:numId w:val="39"/>
        </w:numPr>
        <w:spacing w:after="160" w:line="259" w:lineRule="auto"/>
      </w:pPr>
      <w:hyperlink r:id="rId21" w:history="1">
        <w:r w:rsidR="00AD17D5" w:rsidRPr="00F3196D">
          <w:rPr>
            <w:rStyle w:val="Hyperlink"/>
          </w:rPr>
          <w:t>Standard 19373 (nzqa.govt.nz)</w:t>
        </w:r>
      </w:hyperlink>
    </w:p>
    <w:p w14:paraId="2C0D09E2" w14:textId="77777777" w:rsidR="00AD17D5" w:rsidRPr="00F23E98" w:rsidRDefault="00F63762" w:rsidP="00AD17D5">
      <w:pPr>
        <w:pStyle w:val="ListParagraph"/>
        <w:numPr>
          <w:ilvl w:val="1"/>
          <w:numId w:val="39"/>
        </w:numPr>
        <w:spacing w:after="160" w:line="259" w:lineRule="auto"/>
        <w:rPr>
          <w:rStyle w:val="Hyperlink"/>
        </w:rPr>
      </w:pPr>
      <w:hyperlink r:id="rId22" w:history="1">
        <w:r w:rsidR="00AD17D5" w:rsidRPr="00F3196D">
          <w:rPr>
            <w:rStyle w:val="Hyperlink"/>
          </w:rPr>
          <w:t>19373.pdf (nzqa.govt.nz)</w:t>
        </w:r>
      </w:hyperlink>
    </w:p>
    <w:p w14:paraId="0B40F959" w14:textId="77777777" w:rsidR="00AD17D5" w:rsidRPr="00F3196D" w:rsidRDefault="00AD17D5" w:rsidP="00AD17D5">
      <w:pPr>
        <w:pStyle w:val="ListParagraph"/>
        <w:numPr>
          <w:ilvl w:val="0"/>
          <w:numId w:val="39"/>
        </w:numPr>
        <w:spacing w:after="160" w:line="259" w:lineRule="auto"/>
        <w:rPr>
          <w:b/>
          <w:bCs/>
        </w:rPr>
      </w:pPr>
      <w:r w:rsidRPr="00991D13">
        <w:rPr>
          <w:u w:val="single"/>
        </w:rPr>
        <w:t>Unit Standard 19374</w:t>
      </w:r>
      <w:r w:rsidRPr="00F3196D">
        <w:t xml:space="preserve">: </w:t>
      </w:r>
      <w:r w:rsidRPr="001C4F9D">
        <w:rPr>
          <w:b/>
          <w:bCs/>
        </w:rPr>
        <w:t>Describe nutrient applicators and nutrient application and operate nutrient-application machinery efficiently.</w:t>
      </w:r>
    </w:p>
    <w:p w14:paraId="56AA816E" w14:textId="77777777" w:rsidR="00AD17D5" w:rsidRDefault="00F63762" w:rsidP="00AD17D5">
      <w:pPr>
        <w:pStyle w:val="ListParagraph"/>
        <w:numPr>
          <w:ilvl w:val="1"/>
          <w:numId w:val="39"/>
        </w:numPr>
        <w:spacing w:after="160" w:line="259" w:lineRule="auto"/>
      </w:pPr>
      <w:hyperlink r:id="rId23" w:history="1">
        <w:r w:rsidR="00AD17D5">
          <w:rPr>
            <w:rStyle w:val="Hyperlink"/>
          </w:rPr>
          <w:t>Framework search results (nzqa.govt.nz)</w:t>
        </w:r>
      </w:hyperlink>
    </w:p>
    <w:p w14:paraId="66343858" w14:textId="77777777" w:rsidR="00AD17D5" w:rsidRPr="00F3196D" w:rsidRDefault="00F63762" w:rsidP="00AD17D5">
      <w:pPr>
        <w:pStyle w:val="ListParagraph"/>
        <w:numPr>
          <w:ilvl w:val="1"/>
          <w:numId w:val="39"/>
        </w:numPr>
        <w:spacing w:after="160" w:line="259" w:lineRule="auto"/>
      </w:pPr>
      <w:hyperlink r:id="rId24" w:history="1">
        <w:r w:rsidR="00AD17D5">
          <w:rPr>
            <w:rStyle w:val="Hyperlink"/>
          </w:rPr>
          <w:t>19374.pdf (nzqa.govt.nz)</w:t>
        </w:r>
      </w:hyperlink>
    </w:p>
    <w:p w14:paraId="7C626A92" w14:textId="77777777" w:rsidR="00AD17D5" w:rsidRPr="00F3196D" w:rsidRDefault="00AD17D5" w:rsidP="00AD17D5">
      <w:pPr>
        <w:pStyle w:val="ListParagraph"/>
        <w:numPr>
          <w:ilvl w:val="0"/>
          <w:numId w:val="39"/>
        </w:numPr>
        <w:spacing w:after="160" w:line="259" w:lineRule="auto"/>
      </w:pPr>
      <w:r w:rsidRPr="00991D13">
        <w:rPr>
          <w:u w:val="single"/>
        </w:rPr>
        <w:t>Unit Standard 28782</w:t>
      </w:r>
      <w:r w:rsidRPr="00F3196D">
        <w:t xml:space="preserve">: </w:t>
      </w:r>
      <w:r w:rsidRPr="00F3196D">
        <w:rPr>
          <w:b/>
          <w:bCs/>
        </w:rPr>
        <w:t>Apply nutrients in a primary industry setting.</w:t>
      </w:r>
    </w:p>
    <w:p w14:paraId="669F64BD" w14:textId="77777777" w:rsidR="00AD17D5" w:rsidRPr="00F3196D" w:rsidRDefault="00F63762" w:rsidP="00AD17D5">
      <w:pPr>
        <w:pStyle w:val="ListParagraph"/>
        <w:numPr>
          <w:ilvl w:val="1"/>
          <w:numId w:val="39"/>
        </w:numPr>
        <w:spacing w:after="160" w:line="259" w:lineRule="auto"/>
      </w:pPr>
      <w:hyperlink r:id="rId25" w:history="1">
        <w:r w:rsidR="00AD17D5" w:rsidRPr="00F3196D">
          <w:rPr>
            <w:rStyle w:val="Hyperlink"/>
          </w:rPr>
          <w:t>Framework search results (nzqa.govt.nz)</w:t>
        </w:r>
      </w:hyperlink>
    </w:p>
    <w:p w14:paraId="0BE890B0" w14:textId="77777777" w:rsidR="00AD17D5" w:rsidRPr="00EC3B1D" w:rsidRDefault="00F63762" w:rsidP="00AD17D5">
      <w:pPr>
        <w:pStyle w:val="ListParagraph"/>
        <w:numPr>
          <w:ilvl w:val="1"/>
          <w:numId w:val="39"/>
        </w:numPr>
        <w:spacing w:after="160" w:line="259" w:lineRule="auto"/>
        <w:rPr>
          <w:rStyle w:val="Hyperlink"/>
        </w:rPr>
      </w:pPr>
      <w:hyperlink r:id="rId26" w:history="1">
        <w:r w:rsidR="00AD17D5" w:rsidRPr="00F3196D">
          <w:rPr>
            <w:rStyle w:val="Hyperlink"/>
          </w:rPr>
          <w:t>28782.pdf (nzqa.govt.nz)</w:t>
        </w:r>
      </w:hyperlink>
    </w:p>
    <w:p w14:paraId="7403643C" w14:textId="77777777" w:rsidR="00AD17D5" w:rsidRDefault="00AD17D5" w:rsidP="00AD17D5">
      <w:pPr>
        <w:pStyle w:val="ListParagraph"/>
        <w:numPr>
          <w:ilvl w:val="0"/>
          <w:numId w:val="39"/>
        </w:numPr>
        <w:spacing w:after="160" w:line="259" w:lineRule="auto"/>
      </w:pPr>
      <w:r w:rsidRPr="00991D13">
        <w:rPr>
          <w:u w:val="single"/>
        </w:rPr>
        <w:t>Unit Standard 19048</w:t>
      </w:r>
      <w:r w:rsidRPr="00F3196D">
        <w:t xml:space="preserve">: </w:t>
      </w:r>
      <w:r w:rsidRPr="00DB42C9">
        <w:rPr>
          <w:b/>
          <w:bCs/>
        </w:rPr>
        <w:t>Apply nutrients using mounted or trailed equipment.</w:t>
      </w:r>
    </w:p>
    <w:p w14:paraId="412949C2" w14:textId="77777777" w:rsidR="00AD17D5" w:rsidRDefault="00F63762" w:rsidP="00AD17D5">
      <w:pPr>
        <w:pStyle w:val="ListParagraph"/>
        <w:numPr>
          <w:ilvl w:val="1"/>
          <w:numId w:val="39"/>
        </w:numPr>
        <w:spacing w:after="160" w:line="259" w:lineRule="auto"/>
      </w:pPr>
      <w:hyperlink r:id="rId27" w:history="1">
        <w:r w:rsidR="00AD17D5">
          <w:rPr>
            <w:rStyle w:val="Hyperlink"/>
          </w:rPr>
          <w:t>Standard 19048 (nzqa.govt.nz)</w:t>
        </w:r>
      </w:hyperlink>
    </w:p>
    <w:p w14:paraId="67FF69F8" w14:textId="77777777" w:rsidR="00AD17D5" w:rsidRDefault="00F63762" w:rsidP="00AD17D5">
      <w:pPr>
        <w:pStyle w:val="ListParagraph"/>
        <w:numPr>
          <w:ilvl w:val="1"/>
          <w:numId w:val="39"/>
        </w:numPr>
        <w:spacing w:after="160" w:line="259" w:lineRule="auto"/>
      </w:pPr>
      <w:hyperlink r:id="rId28" w:history="1">
        <w:r w:rsidR="00AD17D5">
          <w:rPr>
            <w:rStyle w:val="Hyperlink"/>
          </w:rPr>
          <w:t>19048.pdf (nzqa.govt.nz)</w:t>
        </w:r>
      </w:hyperlink>
    </w:p>
    <w:p w14:paraId="4C914EC5" w14:textId="77777777" w:rsidR="00AD17D5" w:rsidRPr="00F3196D" w:rsidRDefault="00AD17D5" w:rsidP="00AD17D5">
      <w:pPr>
        <w:pStyle w:val="ListParagraph"/>
      </w:pPr>
    </w:p>
    <w:p w14:paraId="7D87C92F" w14:textId="77777777" w:rsidR="00AD17D5" w:rsidRPr="00F3196D" w:rsidRDefault="00AD17D5" w:rsidP="00AD17D5">
      <w:pPr>
        <w:jc w:val="both"/>
      </w:pPr>
      <w:r>
        <w:t>The</w:t>
      </w:r>
      <w:r w:rsidRPr="00F3196D">
        <w:t xml:space="preserve"> </w:t>
      </w:r>
      <w:r>
        <w:t xml:space="preserve">4 Rs of nutrient stewardship is an internationally recognised framework to achieve goals such as increased production, increased farmer profitability, enhanced environmental protection and improved sustainability. Providers of </w:t>
      </w:r>
      <w:r w:rsidRPr="00F3196D">
        <w:t xml:space="preserve">Spreadmark Training should be cautious </w:t>
      </w:r>
      <w:r>
        <w:t xml:space="preserve">about </w:t>
      </w:r>
      <w:r w:rsidRPr="00F3196D">
        <w:t>selecting unit standards outside of the recommended list above. Spreadmark Training sh</w:t>
      </w:r>
      <w:r>
        <w:t>all</w:t>
      </w:r>
      <w:r w:rsidRPr="00F3196D">
        <w:t xml:space="preserve"> focus on the </w:t>
      </w:r>
      <w:r>
        <w:t xml:space="preserve">4 Rs of </w:t>
      </w:r>
      <w:r w:rsidRPr="00F3196D">
        <w:t>nutrient</w:t>
      </w:r>
      <w:r>
        <w:t xml:space="preserve"> stewardship as outlined in</w:t>
      </w:r>
      <w:r w:rsidRPr="00F3196D">
        <w:t xml:space="preserve"> the Spreadmark Code of Practice and no other areas of a spreading business which are already </w:t>
      </w:r>
      <w:r>
        <w:t>governed</w:t>
      </w:r>
      <w:r w:rsidRPr="00F3196D">
        <w:t xml:space="preserve"> by </w:t>
      </w:r>
      <w:r>
        <w:t>New Zealand</w:t>
      </w:r>
      <w:r w:rsidRPr="00F3196D">
        <w:t xml:space="preserve"> law </w:t>
      </w:r>
      <w:r>
        <w:t>to retain</w:t>
      </w:r>
      <w:r w:rsidRPr="00F3196D">
        <w:t xml:space="preserve"> their licence to operate. </w:t>
      </w:r>
    </w:p>
    <w:p w14:paraId="233033BC" w14:textId="3EE91971" w:rsidR="00195575" w:rsidRPr="00875F10" w:rsidRDefault="00195575" w:rsidP="001F2A37">
      <w:pPr>
        <w:tabs>
          <w:tab w:val="left" w:pos="1134"/>
          <w:tab w:val="left" w:pos="2155"/>
          <w:tab w:val="left" w:pos="8222"/>
        </w:tabs>
        <w:spacing w:before="120" w:after="240"/>
        <w:rPr>
          <w:b/>
          <w:bCs/>
          <w:caps/>
        </w:rPr>
      </w:pPr>
      <w:r w:rsidRPr="00875F10">
        <w:rPr>
          <w:b/>
          <w:bCs/>
          <w:caps/>
        </w:rPr>
        <w:lastRenderedPageBreak/>
        <w:t>Spreadmark Auditor protocol</w:t>
      </w:r>
    </w:p>
    <w:p w14:paraId="0B3D7E27" w14:textId="53FCB701" w:rsidR="00195575" w:rsidRDefault="00195575" w:rsidP="00195575">
      <w:pPr>
        <w:tabs>
          <w:tab w:val="left" w:pos="1134"/>
          <w:tab w:val="left" w:pos="2155"/>
          <w:tab w:val="left" w:pos="8222"/>
        </w:tabs>
        <w:spacing w:before="120" w:after="240" w:line="240" w:lineRule="auto"/>
        <w:ind w:hanging="851"/>
        <w:jc w:val="both"/>
        <w:rPr>
          <w:rFonts w:asciiTheme="majorHAnsi" w:eastAsia="Arial" w:hAnsiTheme="majorHAnsi" w:cstheme="majorHAnsi"/>
        </w:rPr>
      </w:pPr>
      <w:r>
        <w:rPr>
          <w:rFonts w:asciiTheme="majorHAnsi" w:eastAsia="Arial" w:hAnsiTheme="majorHAnsi" w:cstheme="majorHAnsi"/>
        </w:rPr>
        <w:tab/>
        <w:t xml:space="preserve">The role of the auditor is to provide an independent assessment </w:t>
      </w:r>
      <w:r w:rsidR="008D61E1">
        <w:rPr>
          <w:rFonts w:asciiTheme="majorHAnsi" w:eastAsia="Arial" w:hAnsiTheme="majorHAnsi" w:cstheme="majorHAnsi"/>
        </w:rPr>
        <w:t xml:space="preserve">of </w:t>
      </w:r>
      <w:r>
        <w:rPr>
          <w:rFonts w:asciiTheme="majorHAnsi" w:eastAsia="Arial" w:hAnsiTheme="majorHAnsi" w:cstheme="majorHAnsi"/>
        </w:rPr>
        <w:t>whether the requirements described in this Code are complied with. In doing so they provide a crucial role in underpinning the credibility of the Spreadmark label. This credibility is critical in providing customers, regulators and the community, assurance that nutrients are being applied in accordance with the standards described in th</w:t>
      </w:r>
      <w:r w:rsidR="00FA0AD5">
        <w:rPr>
          <w:rFonts w:asciiTheme="majorHAnsi" w:eastAsia="Arial" w:hAnsiTheme="majorHAnsi" w:cstheme="majorHAnsi"/>
        </w:rPr>
        <w:t>e</w:t>
      </w:r>
      <w:r>
        <w:rPr>
          <w:rFonts w:asciiTheme="majorHAnsi" w:eastAsia="Arial" w:hAnsiTheme="majorHAnsi" w:cstheme="majorHAnsi"/>
        </w:rPr>
        <w:t xml:space="preserve"> </w:t>
      </w:r>
      <w:r w:rsidR="00FA0AD5">
        <w:rPr>
          <w:rFonts w:asciiTheme="majorHAnsi" w:eastAsia="Arial" w:hAnsiTheme="majorHAnsi" w:cstheme="majorHAnsi"/>
        </w:rPr>
        <w:t xml:space="preserve">Spreadmark </w:t>
      </w:r>
      <w:r>
        <w:rPr>
          <w:rFonts w:asciiTheme="majorHAnsi" w:eastAsia="Arial" w:hAnsiTheme="majorHAnsi" w:cstheme="majorHAnsi"/>
        </w:rPr>
        <w:t>Code</w:t>
      </w:r>
      <w:r w:rsidR="00FA0AD5">
        <w:rPr>
          <w:rFonts w:asciiTheme="majorHAnsi" w:eastAsia="Arial" w:hAnsiTheme="majorHAnsi" w:cstheme="majorHAnsi"/>
        </w:rPr>
        <w:t xml:space="preserve"> of Practice</w:t>
      </w:r>
      <w:r>
        <w:rPr>
          <w:rFonts w:asciiTheme="majorHAnsi" w:eastAsia="Arial" w:hAnsiTheme="majorHAnsi" w:cstheme="majorHAnsi"/>
        </w:rPr>
        <w:t>.</w:t>
      </w:r>
    </w:p>
    <w:p w14:paraId="5652F8FB" w14:textId="1E20BDA4" w:rsidR="00D47928" w:rsidRDefault="00CF118F" w:rsidP="00195575">
      <w:pPr>
        <w:tabs>
          <w:tab w:val="left" w:pos="1134"/>
          <w:tab w:val="left" w:pos="2155"/>
          <w:tab w:val="left" w:pos="8222"/>
        </w:tabs>
        <w:spacing w:before="120" w:after="240" w:line="240" w:lineRule="auto"/>
        <w:ind w:hanging="851"/>
        <w:jc w:val="both"/>
        <w:rPr>
          <w:rFonts w:asciiTheme="majorHAnsi" w:eastAsia="Arial" w:hAnsiTheme="majorHAnsi" w:cstheme="majorHAnsi"/>
        </w:rPr>
      </w:pPr>
      <w:r>
        <w:rPr>
          <w:rFonts w:asciiTheme="majorHAnsi" w:eastAsia="Arial" w:hAnsiTheme="majorHAnsi" w:cstheme="majorHAnsi"/>
        </w:rPr>
        <w:tab/>
        <w:t xml:space="preserve">Spreadmark </w:t>
      </w:r>
      <w:r w:rsidR="005E3075">
        <w:rPr>
          <w:rFonts w:asciiTheme="majorHAnsi" w:eastAsia="Arial" w:hAnsiTheme="majorHAnsi" w:cstheme="majorHAnsi"/>
        </w:rPr>
        <w:t xml:space="preserve">companies are encouraged to carry out their own internal auditing on a regular basis </w:t>
      </w:r>
      <w:r w:rsidR="008A731B">
        <w:rPr>
          <w:rFonts w:asciiTheme="majorHAnsi" w:eastAsia="Arial" w:hAnsiTheme="majorHAnsi" w:cstheme="majorHAnsi"/>
        </w:rPr>
        <w:t>–</w:t>
      </w:r>
      <w:r w:rsidR="005E3075">
        <w:rPr>
          <w:rFonts w:asciiTheme="majorHAnsi" w:eastAsia="Arial" w:hAnsiTheme="majorHAnsi" w:cstheme="majorHAnsi"/>
        </w:rPr>
        <w:t xml:space="preserve"> </w:t>
      </w:r>
      <w:r w:rsidR="008A731B">
        <w:rPr>
          <w:rFonts w:asciiTheme="majorHAnsi" w:eastAsia="Arial" w:hAnsiTheme="majorHAnsi" w:cstheme="majorHAnsi"/>
        </w:rPr>
        <w:t>a form that can be used for that is attached as</w:t>
      </w:r>
      <w:r w:rsidR="00D51FDE">
        <w:rPr>
          <w:rFonts w:asciiTheme="majorHAnsi" w:eastAsia="Arial" w:hAnsiTheme="majorHAnsi" w:cstheme="majorHAnsi"/>
        </w:rPr>
        <w:t xml:space="preserve"> Appendix A</w:t>
      </w:r>
      <w:r w:rsidR="008A731B">
        <w:rPr>
          <w:rFonts w:asciiTheme="majorHAnsi" w:eastAsia="Arial" w:hAnsiTheme="majorHAnsi" w:cstheme="majorHAnsi"/>
        </w:rPr>
        <w:t xml:space="preserve"> </w:t>
      </w:r>
    </w:p>
    <w:p w14:paraId="72C71747" w14:textId="77777777" w:rsidR="008D61E1" w:rsidRPr="008349CA" w:rsidRDefault="008D61E1" w:rsidP="00195575">
      <w:pPr>
        <w:tabs>
          <w:tab w:val="left" w:pos="1134"/>
          <w:tab w:val="left" w:pos="2155"/>
          <w:tab w:val="left" w:pos="8222"/>
        </w:tabs>
        <w:spacing w:before="120" w:after="240" w:line="240" w:lineRule="auto"/>
        <w:ind w:hanging="851"/>
        <w:jc w:val="both"/>
        <w:rPr>
          <w:rFonts w:asciiTheme="majorHAnsi" w:eastAsia="Arial" w:hAnsiTheme="majorHAnsi" w:cstheme="majorHAnsi"/>
        </w:rPr>
      </w:pPr>
    </w:p>
    <w:p w14:paraId="511D6340" w14:textId="77777777" w:rsidR="00195575" w:rsidRPr="00EC0D20" w:rsidRDefault="00195575" w:rsidP="00195575">
      <w:pPr>
        <w:pStyle w:val="ListParagraph"/>
        <w:numPr>
          <w:ilvl w:val="0"/>
          <w:numId w:val="14"/>
        </w:numPr>
        <w:spacing w:before="120" w:after="240"/>
        <w:jc w:val="both"/>
        <w:rPr>
          <w:b/>
        </w:rPr>
      </w:pPr>
      <w:r w:rsidRPr="00EC0D20">
        <w:rPr>
          <w:b/>
        </w:rPr>
        <w:t>Scope</w:t>
      </w:r>
    </w:p>
    <w:p w14:paraId="6F757A38" w14:textId="07AD4FF7" w:rsidR="00195575" w:rsidRPr="00EC0D20" w:rsidRDefault="00195575" w:rsidP="00195575">
      <w:pPr>
        <w:spacing w:before="120" w:after="240" w:line="240" w:lineRule="auto"/>
        <w:jc w:val="both"/>
      </w:pPr>
      <w:r w:rsidRPr="009A3685">
        <w:t xml:space="preserve">This protocol sets out the roles and responsibilities of the Auditor for the </w:t>
      </w:r>
      <w:r>
        <w:t>nutrient</w:t>
      </w:r>
      <w:r w:rsidRPr="009A3685">
        <w:t xml:space="preserve"> </w:t>
      </w:r>
      <w:r w:rsidRPr="000B1279">
        <w:t>groundspreading</w:t>
      </w:r>
      <w:r>
        <w:t xml:space="preserve"> </w:t>
      </w:r>
      <w:r w:rsidRPr="009A3685">
        <w:t>industry</w:t>
      </w:r>
      <w:r w:rsidR="00501585">
        <w:t>.</w:t>
      </w:r>
    </w:p>
    <w:p w14:paraId="08DEACBC" w14:textId="77777777" w:rsidR="00195575" w:rsidRPr="009A3685" w:rsidRDefault="00195575" w:rsidP="00195575">
      <w:pPr>
        <w:spacing w:before="120" w:after="240"/>
        <w:ind w:left="851" w:hanging="851"/>
        <w:jc w:val="both"/>
        <w:rPr>
          <w:b/>
        </w:rPr>
      </w:pPr>
      <w:r w:rsidRPr="009A3685">
        <w:rPr>
          <w:b/>
        </w:rPr>
        <w:t>2.</w:t>
      </w:r>
      <w:r w:rsidRPr="009A3685">
        <w:rPr>
          <w:b/>
        </w:rPr>
        <w:tab/>
        <w:t>Appointment</w:t>
      </w:r>
    </w:p>
    <w:p w14:paraId="61955B79" w14:textId="4932BF3C" w:rsidR="00195575" w:rsidRPr="009A3685" w:rsidRDefault="00195575" w:rsidP="00195575">
      <w:pPr>
        <w:spacing w:before="120" w:after="240"/>
        <w:ind w:left="851" w:hanging="851"/>
        <w:jc w:val="both"/>
      </w:pPr>
      <w:r w:rsidRPr="009A3685">
        <w:t>2.1</w:t>
      </w:r>
      <w:r w:rsidRPr="009A3685">
        <w:tab/>
        <w:t xml:space="preserve">The Auditor shall be nominated by the Fertiliser Quality Council Executive Committee, and that appointment shall be approved by the Fertiliser Quality Council, for such a term as the Executive Committee shall determine. This decision will be taken in consultation with </w:t>
      </w:r>
      <w:r w:rsidR="008B4ED5">
        <w:t>Groundspread NZ</w:t>
      </w:r>
      <w:r w:rsidRPr="009A3685">
        <w:t>.</w:t>
      </w:r>
    </w:p>
    <w:p w14:paraId="39E30D1F" w14:textId="655ADFF8" w:rsidR="00195575" w:rsidRPr="009A3685" w:rsidRDefault="00195575" w:rsidP="00195575">
      <w:pPr>
        <w:spacing w:before="120" w:after="240"/>
        <w:ind w:left="851" w:hanging="851"/>
        <w:jc w:val="both"/>
      </w:pPr>
      <w:r w:rsidRPr="009A3685">
        <w:t>2.2</w:t>
      </w:r>
      <w:r w:rsidRPr="009A3685">
        <w:tab/>
        <w:t xml:space="preserve">The Auditor shall have received appropriate auditor training and shall be familiar with the </w:t>
      </w:r>
      <w:r w:rsidR="00F46088">
        <w:t>nutrient</w:t>
      </w:r>
      <w:r w:rsidRPr="009A3685">
        <w:t xml:space="preserve"> spreading industry.</w:t>
      </w:r>
    </w:p>
    <w:p w14:paraId="567B21C5" w14:textId="2A7CB17C" w:rsidR="00195575" w:rsidRPr="009A3685" w:rsidRDefault="00195575" w:rsidP="00195575">
      <w:pPr>
        <w:spacing w:before="120" w:after="240"/>
        <w:ind w:left="851" w:hanging="851"/>
        <w:jc w:val="both"/>
      </w:pPr>
      <w:r w:rsidRPr="009A3685">
        <w:t>2.3</w:t>
      </w:r>
      <w:r w:rsidRPr="009A3685">
        <w:tab/>
        <w:t xml:space="preserve">The Auditor cannot also be a Spreading </w:t>
      </w:r>
      <w:r w:rsidR="003736B2">
        <w:t>Unit</w:t>
      </w:r>
      <w:r w:rsidRPr="009A3685">
        <w:t xml:space="preserve"> Tester as it is important that the functions of the certification testing of </w:t>
      </w:r>
      <w:r w:rsidR="003736B2">
        <w:t>sp</w:t>
      </w:r>
      <w:r w:rsidR="005A7265">
        <w:t>reading units</w:t>
      </w:r>
      <w:r w:rsidRPr="009A3685">
        <w:t xml:space="preserve"> and auditing be kept entirely separate.</w:t>
      </w:r>
    </w:p>
    <w:p w14:paraId="4CCB75A8" w14:textId="77777777" w:rsidR="00195575" w:rsidRPr="009A3685" w:rsidRDefault="00195575" w:rsidP="00195575">
      <w:pPr>
        <w:spacing w:before="120" w:after="240"/>
        <w:ind w:left="851" w:hanging="851"/>
        <w:jc w:val="both"/>
        <w:rPr>
          <w:b/>
        </w:rPr>
      </w:pPr>
      <w:r w:rsidRPr="009A3685">
        <w:rPr>
          <w:b/>
        </w:rPr>
        <w:t>3.</w:t>
      </w:r>
      <w:r w:rsidRPr="009A3685">
        <w:rPr>
          <w:b/>
        </w:rPr>
        <w:tab/>
        <w:t>Company contacts</w:t>
      </w:r>
    </w:p>
    <w:p w14:paraId="346D87DF" w14:textId="5573EBA5" w:rsidR="00195575" w:rsidRPr="009A3685" w:rsidRDefault="00195575" w:rsidP="00195575">
      <w:pPr>
        <w:spacing w:before="120" w:after="240"/>
        <w:ind w:left="851" w:hanging="851"/>
        <w:jc w:val="both"/>
      </w:pPr>
      <w:r w:rsidRPr="009A3685">
        <w:t>3.1</w:t>
      </w:r>
      <w:r w:rsidRPr="009A3685">
        <w:tab/>
        <w:t xml:space="preserve">The Auditor </w:t>
      </w:r>
      <w:r w:rsidR="001B44DB">
        <w:t>shall</w:t>
      </w:r>
      <w:r w:rsidRPr="009A3685">
        <w:t xml:space="preserve"> maintain a register of </w:t>
      </w:r>
      <w:r w:rsidR="000C2324">
        <w:t>nutrient</w:t>
      </w:r>
      <w:r w:rsidRPr="009A3685">
        <w:t xml:space="preserve"> spreading companies and nominated company contact people. The nominated company contact people </w:t>
      </w:r>
      <w:r w:rsidR="001B44DB">
        <w:t>shall</w:t>
      </w:r>
      <w:r w:rsidRPr="009A3685">
        <w:t xml:space="preserve"> be the primary points of contact for the Auditor with the company.</w:t>
      </w:r>
    </w:p>
    <w:p w14:paraId="690247AE" w14:textId="77777777" w:rsidR="00195575" w:rsidRPr="009A3685" w:rsidRDefault="00195575" w:rsidP="00195575">
      <w:pPr>
        <w:spacing w:before="120" w:after="240"/>
        <w:ind w:left="851" w:hanging="851"/>
        <w:jc w:val="both"/>
        <w:rPr>
          <w:b/>
        </w:rPr>
      </w:pPr>
      <w:r w:rsidRPr="009A3685">
        <w:rPr>
          <w:b/>
        </w:rPr>
        <w:t>4.</w:t>
      </w:r>
      <w:r w:rsidRPr="009A3685">
        <w:rPr>
          <w:b/>
        </w:rPr>
        <w:tab/>
        <w:t>Notification</w:t>
      </w:r>
    </w:p>
    <w:p w14:paraId="1784DDF7" w14:textId="501114F1" w:rsidR="00195575" w:rsidRPr="009A3685" w:rsidRDefault="00195575" w:rsidP="00195575">
      <w:pPr>
        <w:spacing w:before="120" w:after="240"/>
        <w:ind w:left="851" w:hanging="851"/>
        <w:jc w:val="both"/>
      </w:pPr>
      <w:r w:rsidRPr="009A3685">
        <w:t>4.1</w:t>
      </w:r>
      <w:r w:rsidRPr="009A3685">
        <w:tab/>
        <w:t xml:space="preserve">The Auditor will be notified by the Executive Director each time a valid application for Spreadmark company </w:t>
      </w:r>
      <w:r w:rsidR="003E701D">
        <w:t>certification</w:t>
      </w:r>
      <w:r w:rsidRPr="009A3685">
        <w:t xml:space="preserve"> is received.</w:t>
      </w:r>
    </w:p>
    <w:p w14:paraId="5F441AF4" w14:textId="3A5D437C" w:rsidR="00195575" w:rsidRPr="009A3685" w:rsidRDefault="00195575" w:rsidP="00195575">
      <w:pPr>
        <w:spacing w:before="120" w:after="240"/>
        <w:ind w:left="851" w:hanging="851"/>
        <w:jc w:val="both"/>
      </w:pPr>
      <w:r w:rsidRPr="009A3685">
        <w:t>4.2</w:t>
      </w:r>
      <w:r w:rsidRPr="009A3685">
        <w:tab/>
        <w:t xml:space="preserve">The Auditor will negotiate with the applicant </w:t>
      </w:r>
      <w:r w:rsidR="00123876">
        <w:t>nutrient</w:t>
      </w:r>
      <w:r w:rsidRPr="009A3685">
        <w:t xml:space="preserve"> spreading company contact person for a suitable time to conduct the audit.</w:t>
      </w:r>
    </w:p>
    <w:p w14:paraId="52CAF4C1" w14:textId="77777777" w:rsidR="00195575" w:rsidRPr="009A3685" w:rsidRDefault="00195575" w:rsidP="00195575">
      <w:pPr>
        <w:spacing w:before="120" w:after="240"/>
        <w:ind w:left="851" w:hanging="851"/>
        <w:jc w:val="both"/>
        <w:rPr>
          <w:b/>
        </w:rPr>
      </w:pPr>
      <w:r w:rsidRPr="009A3685">
        <w:rPr>
          <w:b/>
        </w:rPr>
        <w:t>5.</w:t>
      </w:r>
      <w:r w:rsidRPr="009A3685">
        <w:rPr>
          <w:b/>
        </w:rPr>
        <w:tab/>
        <w:t>Audits</w:t>
      </w:r>
    </w:p>
    <w:p w14:paraId="13C57D07" w14:textId="60AB86BA" w:rsidR="00195575" w:rsidRPr="009A3685" w:rsidRDefault="00195575" w:rsidP="00040EF0">
      <w:pPr>
        <w:spacing w:before="120" w:after="240"/>
        <w:ind w:left="851" w:hanging="851"/>
        <w:jc w:val="both"/>
      </w:pPr>
      <w:r w:rsidRPr="009A3685">
        <w:t>5.1</w:t>
      </w:r>
      <w:r w:rsidRPr="009A3685">
        <w:tab/>
        <w:t xml:space="preserve">During audits the Auditor </w:t>
      </w:r>
      <w:r w:rsidR="00F00498">
        <w:t>shall</w:t>
      </w:r>
      <w:r w:rsidRPr="009A3685">
        <w:t xml:space="preserve"> assess the </w:t>
      </w:r>
      <w:r w:rsidR="00123876">
        <w:t>nutrient</w:t>
      </w:r>
      <w:r w:rsidRPr="009A3685">
        <w:t xml:space="preserve"> spreading company quality system and records. The standard used for the audit will be the Spreadmark System Standard</w:t>
      </w:r>
      <w:r w:rsidR="00EE7AB2">
        <w:t xml:space="preserve"> and other </w:t>
      </w:r>
      <w:r w:rsidR="00BD7F48">
        <w:lastRenderedPageBreak/>
        <w:t>relevant parts of the Code</w:t>
      </w:r>
      <w:r w:rsidRPr="009A3685">
        <w:t>. The audit will focus on outcomes and evaluate whether or not they are being achieved.</w:t>
      </w:r>
      <w:r w:rsidR="00C55E7D">
        <w:t xml:space="preserve"> A pre-audit </w:t>
      </w:r>
      <w:r w:rsidR="002930E2">
        <w:t xml:space="preserve">information </w:t>
      </w:r>
      <w:r w:rsidR="00DB4616">
        <w:t>pack</w:t>
      </w:r>
      <w:r w:rsidR="00E5588A">
        <w:t xml:space="preserve"> </w:t>
      </w:r>
      <w:r w:rsidR="00DB4616">
        <w:t xml:space="preserve">including </w:t>
      </w:r>
      <w:r w:rsidR="002930E2">
        <w:t xml:space="preserve">an internal </w:t>
      </w:r>
      <w:r w:rsidR="00FF71DA">
        <w:t xml:space="preserve">audit checklist and </w:t>
      </w:r>
      <w:r w:rsidR="00DB4616">
        <w:t xml:space="preserve">the checklist used by the auditor is available here </w:t>
      </w:r>
      <w:hyperlink r:id="rId29" w:history="1">
        <w:r w:rsidR="00DB4616" w:rsidRPr="001F610A">
          <w:rPr>
            <w:rStyle w:val="Hyperlink"/>
          </w:rPr>
          <w:t>https://fertqual.co.nz/resources/</w:t>
        </w:r>
      </w:hyperlink>
      <w:r w:rsidR="00DB4616">
        <w:t xml:space="preserve"> </w:t>
      </w:r>
    </w:p>
    <w:p w14:paraId="1A5A23B4" w14:textId="6A28B2C3" w:rsidR="00195575" w:rsidRPr="009A3685" w:rsidRDefault="00195575" w:rsidP="00195575">
      <w:pPr>
        <w:spacing w:before="120" w:after="240"/>
        <w:ind w:left="851" w:hanging="851"/>
        <w:jc w:val="both"/>
      </w:pPr>
      <w:r w:rsidRPr="009A3685">
        <w:t>5.</w:t>
      </w:r>
      <w:r w:rsidR="00040EF0">
        <w:t>2</w:t>
      </w:r>
      <w:r w:rsidRPr="009A3685">
        <w:tab/>
        <w:t xml:space="preserve">After the audit is complete a site audit report will be sent to the nominated company contact person. It will include a summary of findings and a statement of the extent to which the company systems and practices meet the Spreadmark Code of Practice. </w:t>
      </w:r>
    </w:p>
    <w:p w14:paraId="0F185FAC" w14:textId="77777777" w:rsidR="00195575" w:rsidRPr="009A3685" w:rsidRDefault="00195575" w:rsidP="00195575">
      <w:pPr>
        <w:spacing w:before="120" w:after="240"/>
        <w:ind w:left="851" w:hanging="851"/>
        <w:jc w:val="both"/>
        <w:rPr>
          <w:b/>
        </w:rPr>
      </w:pPr>
      <w:bookmarkStart w:id="7" w:name="Frequency"/>
      <w:r w:rsidRPr="009A3685">
        <w:rPr>
          <w:b/>
        </w:rPr>
        <w:t>6.</w:t>
      </w:r>
      <w:r w:rsidRPr="009A3685">
        <w:rPr>
          <w:b/>
        </w:rPr>
        <w:tab/>
        <w:t>Audit frequency</w:t>
      </w:r>
    </w:p>
    <w:bookmarkEnd w:id="7"/>
    <w:p w14:paraId="351B1490" w14:textId="26FE2376" w:rsidR="00195575" w:rsidRPr="009A3685" w:rsidRDefault="00195575" w:rsidP="00195575">
      <w:pPr>
        <w:spacing w:before="120" w:after="240"/>
        <w:ind w:left="851" w:hanging="851"/>
        <w:jc w:val="both"/>
      </w:pPr>
      <w:r w:rsidRPr="009A3685">
        <w:t>6.1</w:t>
      </w:r>
      <w:r w:rsidRPr="009A3685">
        <w:tab/>
        <w:t xml:space="preserve">Spreadmark audits will initially be carried out one year from the date of </w:t>
      </w:r>
      <w:r w:rsidR="003E701D">
        <w:t>certification</w:t>
      </w:r>
      <w:r w:rsidRPr="009A3685">
        <w:t xml:space="preserve"> and then on a two–yearly basis.</w:t>
      </w:r>
    </w:p>
    <w:p w14:paraId="6AF0B24D" w14:textId="77777777" w:rsidR="00195575" w:rsidRPr="009A3685" w:rsidRDefault="00195575" w:rsidP="00195575">
      <w:pPr>
        <w:spacing w:before="120" w:after="240"/>
        <w:ind w:left="851" w:hanging="851"/>
        <w:jc w:val="both"/>
      </w:pPr>
      <w:r w:rsidRPr="009A3685">
        <w:t>6.2</w:t>
      </w:r>
      <w:r w:rsidRPr="009A3685">
        <w:tab/>
        <w:t>The Auditor may determine that an increased audit frequency (normally annual) is appropriate if there are significant non-conformances or complaints against the company are sustained.  An example of a significant non-conformance would be a failure to have 75% of the spreading fleet holding current Spreadmark certification.</w:t>
      </w:r>
    </w:p>
    <w:p w14:paraId="2EF51395" w14:textId="5E24F45E" w:rsidR="00195575" w:rsidRPr="009A3685" w:rsidRDefault="00195575" w:rsidP="00195575">
      <w:pPr>
        <w:spacing w:before="120" w:after="240"/>
        <w:ind w:left="851" w:hanging="851"/>
        <w:jc w:val="both"/>
      </w:pPr>
      <w:r w:rsidRPr="009A3685">
        <w:t>6.3</w:t>
      </w:r>
      <w:r w:rsidRPr="009A3685">
        <w:tab/>
      </w:r>
      <w:r w:rsidR="007520AF">
        <w:t>I</w:t>
      </w:r>
      <w:r w:rsidRPr="009A3685">
        <w:t xml:space="preserve">f there are no significant non-conformances at two successive audits the </w:t>
      </w:r>
      <w:r w:rsidR="003E701D">
        <w:t>certification</w:t>
      </w:r>
      <w:r w:rsidRPr="009A3685">
        <w:t xml:space="preserve"> period will be increased to three years.  This provision only appl</w:t>
      </w:r>
      <w:r w:rsidR="002E507B">
        <w:t>ies</w:t>
      </w:r>
      <w:r w:rsidRPr="009A3685">
        <w:t xml:space="preserve"> where the annual self-check audit has been done and retained for the auditor.</w:t>
      </w:r>
    </w:p>
    <w:p w14:paraId="0AFD0C48" w14:textId="1547C8E6" w:rsidR="00195575" w:rsidRPr="009A3685" w:rsidRDefault="00195575" w:rsidP="00195575">
      <w:pPr>
        <w:spacing w:before="120" w:after="240"/>
        <w:ind w:left="851" w:hanging="851"/>
        <w:jc w:val="both"/>
      </w:pPr>
      <w:r w:rsidRPr="009A3685">
        <w:t>6.4</w:t>
      </w:r>
      <w:r w:rsidRPr="009A3685">
        <w:tab/>
        <w:t xml:space="preserve">Supplementary audits </w:t>
      </w:r>
      <w:r w:rsidR="00170BAD">
        <w:t>may</w:t>
      </w:r>
      <w:r w:rsidRPr="009A3685">
        <w:t xml:space="preserve"> be initiated or authorised by the Executive Director</w:t>
      </w:r>
      <w:r w:rsidR="006D33B1">
        <w:t xml:space="preserve"> </w:t>
      </w:r>
      <w:r w:rsidRPr="009A3685">
        <w:t>on an irregular basis and with a relatively short period of notice. Supplementary audits may include the check testing of spread</w:t>
      </w:r>
      <w:r w:rsidR="006D33B1">
        <w:t>ing units.</w:t>
      </w:r>
      <w:r w:rsidRPr="009A3685">
        <w:t xml:space="preserve"> The principle focus of supplementary audits will be:</w:t>
      </w:r>
    </w:p>
    <w:p w14:paraId="28CCCEC5" w14:textId="77777777" w:rsidR="00195575" w:rsidRPr="009A3685" w:rsidRDefault="00195575" w:rsidP="00195575">
      <w:pPr>
        <w:pStyle w:val="ListParagraph"/>
        <w:numPr>
          <w:ilvl w:val="1"/>
          <w:numId w:val="11"/>
        </w:numPr>
        <w:spacing w:before="120" w:after="240" w:line="240" w:lineRule="auto"/>
        <w:jc w:val="both"/>
      </w:pPr>
      <w:r w:rsidRPr="009A3685">
        <w:t>Companies which do their own testing,</w:t>
      </w:r>
    </w:p>
    <w:p w14:paraId="54252046" w14:textId="77777777" w:rsidR="00195575" w:rsidRPr="009A3685" w:rsidRDefault="00195575" w:rsidP="00195575">
      <w:pPr>
        <w:pStyle w:val="ListParagraph"/>
        <w:numPr>
          <w:ilvl w:val="1"/>
          <w:numId w:val="11"/>
        </w:numPr>
        <w:spacing w:before="120" w:after="240" w:line="240" w:lineRule="auto"/>
        <w:jc w:val="both"/>
      </w:pPr>
      <w:r w:rsidRPr="009A3685">
        <w:t>Companies where there were material issues at the previous audit (including excessive slowness at clearing audit conditions),</w:t>
      </w:r>
    </w:p>
    <w:p w14:paraId="2F540CED" w14:textId="77777777" w:rsidR="00195575" w:rsidRPr="009A3685" w:rsidRDefault="00195575" w:rsidP="00195575">
      <w:pPr>
        <w:pStyle w:val="ListParagraph"/>
        <w:numPr>
          <w:ilvl w:val="1"/>
          <w:numId w:val="12"/>
        </w:numPr>
        <w:spacing w:before="120" w:after="240" w:line="240" w:lineRule="auto"/>
        <w:jc w:val="both"/>
      </w:pPr>
      <w:r w:rsidRPr="009A3685">
        <w:t>Companies which are the subject of a complaint or where there is reason to suspect that Spreadmark standards may not be being adhered to.</w:t>
      </w:r>
    </w:p>
    <w:p w14:paraId="46809E5D" w14:textId="77777777" w:rsidR="00195575" w:rsidRPr="009A3685" w:rsidRDefault="00195575" w:rsidP="00195575">
      <w:pPr>
        <w:spacing w:before="120" w:after="240" w:line="240" w:lineRule="auto"/>
        <w:ind w:firstLine="851"/>
        <w:jc w:val="both"/>
      </w:pPr>
      <w:r w:rsidRPr="009A3685">
        <w:t>Supplementary audits will be paid for by the Fertiliser Quality Council.</w:t>
      </w:r>
    </w:p>
    <w:p w14:paraId="4F482D73" w14:textId="77777777" w:rsidR="00195575" w:rsidRPr="009A3685" w:rsidRDefault="00195575" w:rsidP="00195575">
      <w:pPr>
        <w:spacing w:before="120" w:after="240"/>
        <w:ind w:left="851" w:hanging="851"/>
        <w:jc w:val="both"/>
        <w:rPr>
          <w:b/>
        </w:rPr>
      </w:pPr>
      <w:r w:rsidRPr="009A3685">
        <w:rPr>
          <w:b/>
        </w:rPr>
        <w:t>7.</w:t>
      </w:r>
      <w:r w:rsidRPr="009A3685">
        <w:rPr>
          <w:b/>
        </w:rPr>
        <w:tab/>
        <w:t>Status reports</w:t>
      </w:r>
    </w:p>
    <w:p w14:paraId="1F04828D" w14:textId="77777777" w:rsidR="00195575" w:rsidRPr="009A3685" w:rsidRDefault="00195575" w:rsidP="00195575">
      <w:pPr>
        <w:spacing w:before="120" w:after="240"/>
        <w:ind w:left="851" w:hanging="851"/>
        <w:jc w:val="both"/>
      </w:pPr>
      <w:r w:rsidRPr="009A3685">
        <w:t>7.1</w:t>
      </w:r>
      <w:r w:rsidRPr="009A3685">
        <w:tab/>
        <w:t>The Auditor will produce a status report with the name and address of each registered company.</w:t>
      </w:r>
    </w:p>
    <w:p w14:paraId="0B1112AC" w14:textId="19C8F409" w:rsidR="00195575" w:rsidRPr="009A3685" w:rsidRDefault="00195575" w:rsidP="00195575">
      <w:pPr>
        <w:spacing w:before="120" w:after="240"/>
        <w:ind w:left="851" w:hanging="851"/>
        <w:jc w:val="both"/>
      </w:pPr>
      <w:r w:rsidRPr="009A3685">
        <w:t>7.2</w:t>
      </w:r>
      <w:r w:rsidRPr="009A3685">
        <w:tab/>
        <w:t xml:space="preserve">The auditor will produce an additional report showing the information above plus a description </w:t>
      </w:r>
      <w:r w:rsidR="00604C63">
        <w:t xml:space="preserve">and certification </w:t>
      </w:r>
      <w:r w:rsidR="000704F3">
        <w:t xml:space="preserve">expiry date </w:t>
      </w:r>
      <w:r w:rsidRPr="009A3685">
        <w:t>of each spread</w:t>
      </w:r>
      <w:r w:rsidR="00604C63">
        <w:t>ing unit</w:t>
      </w:r>
      <w:r w:rsidRPr="009A3685">
        <w:t>.</w:t>
      </w:r>
    </w:p>
    <w:p w14:paraId="290613D9" w14:textId="140AA5CB" w:rsidR="00195575" w:rsidRPr="009A3685" w:rsidRDefault="00195575" w:rsidP="00195575">
      <w:pPr>
        <w:spacing w:before="120" w:after="240"/>
        <w:ind w:left="851" w:hanging="851"/>
        <w:jc w:val="both"/>
      </w:pPr>
      <w:r w:rsidRPr="009A3685">
        <w:t>7.3</w:t>
      </w:r>
      <w:r w:rsidRPr="009A3685">
        <w:tab/>
        <w:t xml:space="preserve">The status reports shall be supplied to the Executive Director </w:t>
      </w:r>
      <w:r w:rsidR="002F4E62">
        <w:t>on a monthly basis</w:t>
      </w:r>
      <w:r w:rsidRPr="009A3685">
        <w:t xml:space="preserve"> or within ten working days of it being requested.</w:t>
      </w:r>
    </w:p>
    <w:p w14:paraId="69342A9F" w14:textId="77777777" w:rsidR="00195575" w:rsidRPr="009A3685" w:rsidRDefault="00195575" w:rsidP="00195575">
      <w:pPr>
        <w:jc w:val="both"/>
        <w:rPr>
          <w:b/>
        </w:rPr>
      </w:pPr>
      <w:r w:rsidRPr="009A3685">
        <w:rPr>
          <w:b/>
        </w:rPr>
        <w:t>8.</w:t>
      </w:r>
      <w:r w:rsidRPr="009A3685">
        <w:rPr>
          <w:b/>
        </w:rPr>
        <w:tab/>
        <w:t>Records</w:t>
      </w:r>
    </w:p>
    <w:p w14:paraId="1153F7D9" w14:textId="77777777" w:rsidR="00195575" w:rsidRPr="009A3685" w:rsidRDefault="00195575" w:rsidP="00195575">
      <w:pPr>
        <w:spacing w:before="120" w:after="240"/>
        <w:ind w:left="851" w:hanging="851"/>
        <w:jc w:val="both"/>
      </w:pPr>
      <w:r w:rsidRPr="009A3685">
        <w:t>8.1</w:t>
      </w:r>
      <w:r w:rsidRPr="009A3685">
        <w:tab/>
        <w:t>The Auditor shall maintain proper records. These records will include audit reports, status reports and correspondence.</w:t>
      </w:r>
    </w:p>
    <w:p w14:paraId="5D57EA64" w14:textId="77777777" w:rsidR="00195575" w:rsidRPr="009A3685" w:rsidRDefault="00195575" w:rsidP="00195575">
      <w:pPr>
        <w:spacing w:before="120" w:after="240"/>
        <w:ind w:left="851" w:hanging="851"/>
        <w:jc w:val="both"/>
      </w:pPr>
      <w:r w:rsidRPr="009A3685">
        <w:lastRenderedPageBreak/>
        <w:t>8.2</w:t>
      </w:r>
      <w:r w:rsidRPr="009A3685">
        <w:tab/>
        <w:t>Records, or copies of records, shall be supplied to the Executive Director upon request and in accordance with the Spreadmark Confidentiality Protocol.</w:t>
      </w:r>
    </w:p>
    <w:p w14:paraId="10C7DEC4" w14:textId="77777777" w:rsidR="00195575" w:rsidRPr="009A3685" w:rsidRDefault="00195575" w:rsidP="00195575">
      <w:pPr>
        <w:spacing w:before="120" w:after="240"/>
        <w:ind w:left="851" w:hanging="851"/>
        <w:jc w:val="both"/>
        <w:rPr>
          <w:b/>
        </w:rPr>
      </w:pPr>
      <w:r w:rsidRPr="009A3685">
        <w:rPr>
          <w:b/>
        </w:rPr>
        <w:t>9.</w:t>
      </w:r>
      <w:r w:rsidRPr="009A3685">
        <w:rPr>
          <w:b/>
        </w:rPr>
        <w:tab/>
        <w:t>Confidentiality</w:t>
      </w:r>
    </w:p>
    <w:p w14:paraId="5EB9AFE9" w14:textId="4159951A" w:rsidR="00195575" w:rsidRPr="009A3685" w:rsidRDefault="00195575" w:rsidP="00195575">
      <w:pPr>
        <w:spacing w:before="120" w:after="240"/>
        <w:ind w:left="851" w:hanging="851"/>
        <w:jc w:val="both"/>
      </w:pPr>
      <w:r w:rsidRPr="009A3685">
        <w:t>9.1</w:t>
      </w:r>
      <w:r w:rsidRPr="009A3685">
        <w:tab/>
        <w:t xml:space="preserve">With the exceptions noted below, the Auditor will not communicate information about any </w:t>
      </w:r>
      <w:r w:rsidR="00FF1C67">
        <w:t>nutrient</w:t>
      </w:r>
      <w:r w:rsidRPr="009A3685">
        <w:t xml:space="preserve"> spreading company to anyone other than the company itself through its nominated contact person or the Executive Director. Requests for information are to be referred to the Executive Director. </w:t>
      </w:r>
    </w:p>
    <w:p w14:paraId="149E6C04" w14:textId="24B9DB57" w:rsidR="00195575" w:rsidRPr="009A3685" w:rsidRDefault="00195575" w:rsidP="00195575">
      <w:pPr>
        <w:spacing w:before="120" w:after="240"/>
        <w:ind w:left="851" w:hanging="851"/>
        <w:jc w:val="both"/>
      </w:pPr>
      <w:r w:rsidRPr="009A3685">
        <w:t>9.2</w:t>
      </w:r>
      <w:r w:rsidRPr="009A3685">
        <w:tab/>
        <w:t xml:space="preserve">The following information about </w:t>
      </w:r>
      <w:r w:rsidR="00FF1C67">
        <w:t>nutrient</w:t>
      </w:r>
      <w:r w:rsidRPr="009A3685">
        <w:t xml:space="preserve"> spreading companies may be supplied to the Executive Director:</w:t>
      </w:r>
    </w:p>
    <w:p w14:paraId="1CA29E49" w14:textId="77777777" w:rsidR="00195575" w:rsidRPr="009A3685" w:rsidRDefault="00195575" w:rsidP="00195575">
      <w:pPr>
        <w:pStyle w:val="ListParagraph"/>
        <w:numPr>
          <w:ilvl w:val="1"/>
          <w:numId w:val="12"/>
        </w:numPr>
        <w:spacing w:before="120" w:after="240"/>
        <w:jc w:val="both"/>
      </w:pPr>
      <w:r w:rsidRPr="009A3685">
        <w:t>The names of companies that meet Spreadmark requirements, the nominated contact people and their contact details (The Spreadmark Company List).</w:t>
      </w:r>
    </w:p>
    <w:p w14:paraId="259F1F47" w14:textId="09206ABB" w:rsidR="00195575" w:rsidRPr="009A3685" w:rsidRDefault="00195575" w:rsidP="00195575">
      <w:pPr>
        <w:pStyle w:val="ListParagraph"/>
        <w:numPr>
          <w:ilvl w:val="1"/>
          <w:numId w:val="12"/>
        </w:numPr>
        <w:spacing w:before="120" w:after="240"/>
        <w:jc w:val="both"/>
      </w:pPr>
      <w:r w:rsidRPr="009A3685">
        <w:t xml:space="preserve">The expiry date of Spreadmark company </w:t>
      </w:r>
      <w:r w:rsidR="008C1364">
        <w:t>certification</w:t>
      </w:r>
      <w:r w:rsidRPr="009A3685">
        <w:t xml:space="preserve"> certificates.</w:t>
      </w:r>
    </w:p>
    <w:p w14:paraId="647FA894" w14:textId="77777777" w:rsidR="00195575" w:rsidRPr="009A3685" w:rsidRDefault="00195575" w:rsidP="00195575">
      <w:pPr>
        <w:pStyle w:val="ListParagraph"/>
        <w:numPr>
          <w:ilvl w:val="1"/>
          <w:numId w:val="12"/>
        </w:numPr>
        <w:spacing w:before="120" w:after="240"/>
        <w:jc w:val="both"/>
      </w:pPr>
      <w:r w:rsidRPr="009A3685">
        <w:t>Vehicle certification information.</w:t>
      </w:r>
    </w:p>
    <w:p w14:paraId="1073220A" w14:textId="77777777" w:rsidR="00195575" w:rsidRPr="009A3685" w:rsidRDefault="00195575" w:rsidP="00195575">
      <w:pPr>
        <w:pStyle w:val="ListParagraph"/>
        <w:numPr>
          <w:ilvl w:val="1"/>
          <w:numId w:val="12"/>
        </w:numPr>
        <w:spacing w:before="120" w:after="240"/>
        <w:jc w:val="both"/>
      </w:pPr>
      <w:r w:rsidRPr="009A3685">
        <w:t>The number of trained drivers in each Spreadmark registered company.</w:t>
      </w:r>
    </w:p>
    <w:p w14:paraId="2BED9F2B" w14:textId="77777777" w:rsidR="00195575" w:rsidRPr="009A3685" w:rsidRDefault="00195575" w:rsidP="00195575">
      <w:pPr>
        <w:spacing w:before="120" w:after="240"/>
        <w:ind w:left="851" w:hanging="851"/>
        <w:jc w:val="both"/>
      </w:pPr>
      <w:r w:rsidRPr="009A3685">
        <w:t>9.3</w:t>
      </w:r>
      <w:r w:rsidRPr="009A3685">
        <w:tab/>
        <w:t>All information held by the Auditor on a company is to be made available to that company on request by the nominated company contact person.</w:t>
      </w:r>
    </w:p>
    <w:p w14:paraId="55FFFDAD" w14:textId="77777777" w:rsidR="00195575" w:rsidRPr="009A3685" w:rsidRDefault="00195575" w:rsidP="00195575">
      <w:pPr>
        <w:jc w:val="both"/>
      </w:pPr>
      <w:r w:rsidRPr="009A3685">
        <w:t>9.4</w:t>
      </w:r>
      <w:r w:rsidRPr="009A3685">
        <w:tab/>
        <w:t>For further information refer to the Spreadmark Confidentiality Protocol.</w:t>
      </w:r>
    </w:p>
    <w:p w14:paraId="58B3B382" w14:textId="7EC2F664" w:rsidR="00195575" w:rsidRPr="009A3685" w:rsidRDefault="00195575" w:rsidP="00195575">
      <w:pPr>
        <w:jc w:val="both"/>
        <w:rPr>
          <w:b/>
        </w:rPr>
      </w:pPr>
      <w:r w:rsidRPr="009A3685">
        <w:rPr>
          <w:b/>
        </w:rPr>
        <w:t>10.</w:t>
      </w:r>
      <w:r w:rsidRPr="009A3685">
        <w:rPr>
          <w:b/>
        </w:rPr>
        <w:tab/>
        <w:t>De</w:t>
      </w:r>
      <w:r w:rsidR="008C1364">
        <w:rPr>
          <w:b/>
        </w:rPr>
        <w:t>certification</w:t>
      </w:r>
    </w:p>
    <w:p w14:paraId="00FA5E05" w14:textId="40868542" w:rsidR="00195575" w:rsidRPr="009A3685" w:rsidRDefault="00195575" w:rsidP="005663C3">
      <w:r w:rsidRPr="009A3685">
        <w:t xml:space="preserve">The Spreadmark </w:t>
      </w:r>
      <w:r w:rsidR="008C1364">
        <w:t>certification</w:t>
      </w:r>
      <w:r w:rsidRPr="009A3685">
        <w:t xml:space="preserve"> of a </w:t>
      </w:r>
      <w:r w:rsidR="00FF1C67">
        <w:t>nutrient</w:t>
      </w:r>
      <w:r w:rsidRPr="009A3685">
        <w:t xml:space="preserve"> spreading company may be withdrawn or not renewed when any of the conditions outlined below are met:</w:t>
      </w:r>
    </w:p>
    <w:p w14:paraId="5378CE1D" w14:textId="77777777" w:rsidR="00501585" w:rsidRDefault="00195575" w:rsidP="005663C3">
      <w:pPr>
        <w:pStyle w:val="ListParagraph"/>
        <w:numPr>
          <w:ilvl w:val="0"/>
          <w:numId w:val="13"/>
        </w:numPr>
        <w:ind w:left="1701" w:hanging="567"/>
      </w:pPr>
      <w:r w:rsidRPr="009A3685">
        <w:t>A recommendation to do so is received from the Fertiliser Quality Executive Committee, or</w:t>
      </w:r>
    </w:p>
    <w:p w14:paraId="29352462" w14:textId="03B3048E" w:rsidR="00195575" w:rsidRPr="009A3685" w:rsidRDefault="00195575" w:rsidP="005663C3">
      <w:pPr>
        <w:pStyle w:val="ListParagraph"/>
        <w:numPr>
          <w:ilvl w:val="0"/>
          <w:numId w:val="13"/>
        </w:numPr>
        <w:ind w:left="1701" w:hanging="567"/>
      </w:pPr>
      <w:r w:rsidRPr="009A3685">
        <w:t xml:space="preserve">The </w:t>
      </w:r>
      <w:r w:rsidR="00FF1C67">
        <w:t>nutrient</w:t>
      </w:r>
      <w:r w:rsidRPr="009A3685">
        <w:t xml:space="preserve"> spreading company operating systems do not meet the </w:t>
      </w:r>
    </w:p>
    <w:p w14:paraId="76C180B4" w14:textId="77777777" w:rsidR="00195575" w:rsidRPr="009A3685" w:rsidRDefault="00195575" w:rsidP="005663C3">
      <w:pPr>
        <w:pStyle w:val="ListParagraph"/>
        <w:ind w:left="1702"/>
      </w:pPr>
      <w:r w:rsidRPr="009A3685">
        <w:t>Spreadmark System Standard as determined by the Spreadmark Auditor and the breach has not been remedied within the specified time.</w:t>
      </w:r>
    </w:p>
    <w:p w14:paraId="78736B51" w14:textId="27AD46AE" w:rsidR="00195575" w:rsidRPr="009A3685" w:rsidRDefault="00195575" w:rsidP="00195575">
      <w:pPr>
        <w:pStyle w:val="Heading3"/>
        <w:spacing w:before="0" w:after="200"/>
        <w:ind w:left="0"/>
        <w:jc w:val="both"/>
        <w:rPr>
          <w:rFonts w:ascii="Calibri" w:hAnsi="Calibri" w:cs="Calibri"/>
          <w:iCs/>
          <w:sz w:val="22"/>
          <w:szCs w:val="22"/>
        </w:rPr>
      </w:pPr>
      <w:r w:rsidRPr="009A3685">
        <w:rPr>
          <w:rFonts w:ascii="Calibri" w:hAnsi="Calibri" w:cs="Calibri"/>
          <w:sz w:val="22"/>
          <w:szCs w:val="22"/>
        </w:rPr>
        <w:t xml:space="preserve">11.    </w:t>
      </w:r>
      <w:r w:rsidRPr="009A3685">
        <w:rPr>
          <w:rFonts w:ascii="Calibri" w:hAnsi="Calibri" w:cs="Calibri"/>
          <w:iCs/>
          <w:sz w:val="22"/>
          <w:szCs w:val="22"/>
        </w:rPr>
        <w:t>Certification of Groundspread Testers</w:t>
      </w:r>
    </w:p>
    <w:p w14:paraId="4A4AC0ED" w14:textId="73ADA95B" w:rsidR="00195575" w:rsidRPr="009A3685" w:rsidRDefault="00195575" w:rsidP="00195575">
      <w:pPr>
        <w:jc w:val="both"/>
      </w:pPr>
      <w:r w:rsidRPr="009A3685">
        <w:rPr>
          <w:iCs/>
        </w:rPr>
        <w:t>The F</w:t>
      </w:r>
      <w:r w:rsidR="00364519">
        <w:rPr>
          <w:iCs/>
        </w:rPr>
        <w:t xml:space="preserve">ertiliser </w:t>
      </w:r>
      <w:r w:rsidRPr="009A3685">
        <w:rPr>
          <w:iCs/>
        </w:rPr>
        <w:t>Q</w:t>
      </w:r>
      <w:r w:rsidR="00364519">
        <w:rPr>
          <w:iCs/>
        </w:rPr>
        <w:t xml:space="preserve">uality </w:t>
      </w:r>
      <w:r w:rsidRPr="009A3685">
        <w:rPr>
          <w:iCs/>
        </w:rPr>
        <w:t>C</w:t>
      </w:r>
      <w:r w:rsidR="00364519">
        <w:rPr>
          <w:iCs/>
        </w:rPr>
        <w:t>ouncil</w:t>
      </w:r>
      <w:r w:rsidRPr="009A3685">
        <w:rPr>
          <w:iCs/>
        </w:rPr>
        <w:t xml:space="preserve"> has delegated responsibility to the auditor for the approval of </w:t>
      </w:r>
      <w:r w:rsidR="00997AE1" w:rsidRPr="009A3685">
        <w:rPr>
          <w:iCs/>
        </w:rPr>
        <w:t>groundspread</w:t>
      </w:r>
      <w:r w:rsidRPr="009A3685">
        <w:rPr>
          <w:iCs/>
        </w:rPr>
        <w:t xml:space="preserve"> certification testers, oversight of the testing programme, the review of test reports, and the registering of test results. </w:t>
      </w:r>
    </w:p>
    <w:p w14:paraId="30D82BBA" w14:textId="77777777" w:rsidR="00195575" w:rsidRPr="009A3685" w:rsidRDefault="00195575" w:rsidP="00195575">
      <w:pPr>
        <w:jc w:val="both"/>
      </w:pPr>
      <w:r w:rsidRPr="009A3685">
        <w:rPr>
          <w:iCs/>
        </w:rPr>
        <w:t>Spreaders are required to periodically test ground spreader performance and are required to present current Spreadmark Spreader Performance Certificates to the auditor. The auditor must ensure that:</w:t>
      </w:r>
    </w:p>
    <w:p w14:paraId="70123A10" w14:textId="23C9F512" w:rsidR="00195575" w:rsidRPr="009A3685" w:rsidRDefault="00195575" w:rsidP="00B445A8">
      <w:pPr>
        <w:pStyle w:val="QualityManualheading2"/>
        <w:numPr>
          <w:ilvl w:val="0"/>
          <w:numId w:val="38"/>
        </w:numPr>
        <w:spacing w:after="200" w:line="276" w:lineRule="auto"/>
        <w:jc w:val="both"/>
        <w:rPr>
          <w:rFonts w:ascii="Calibri" w:hAnsi="Calibri" w:cs="Calibri"/>
          <w:b w:val="0"/>
          <w:bCs w:val="0"/>
          <w:iCs/>
        </w:rPr>
      </w:pPr>
      <w:r w:rsidRPr="009A3685">
        <w:rPr>
          <w:rFonts w:ascii="Calibri" w:hAnsi="Calibri" w:cs="Calibri"/>
          <w:b w:val="0"/>
          <w:bCs w:val="0"/>
          <w:iCs/>
        </w:rPr>
        <w:t xml:space="preserve">Test reports are from a tester registered with </w:t>
      </w:r>
      <w:r w:rsidR="00500736">
        <w:rPr>
          <w:rFonts w:ascii="Calibri" w:hAnsi="Calibri" w:cs="Calibri"/>
          <w:b w:val="0"/>
          <w:bCs w:val="0"/>
          <w:iCs/>
        </w:rPr>
        <w:t xml:space="preserve">the </w:t>
      </w:r>
      <w:r w:rsidRPr="009A3685">
        <w:rPr>
          <w:rFonts w:ascii="Calibri" w:hAnsi="Calibri" w:cs="Calibri"/>
          <w:b w:val="0"/>
          <w:bCs w:val="0"/>
          <w:iCs/>
        </w:rPr>
        <w:t>F</w:t>
      </w:r>
      <w:r w:rsidR="00500736">
        <w:rPr>
          <w:rFonts w:ascii="Calibri" w:hAnsi="Calibri" w:cs="Calibri"/>
          <w:b w:val="0"/>
          <w:bCs w:val="0"/>
          <w:iCs/>
        </w:rPr>
        <w:t xml:space="preserve">ertiliser </w:t>
      </w:r>
      <w:r w:rsidRPr="009A3685">
        <w:rPr>
          <w:rFonts w:ascii="Calibri" w:hAnsi="Calibri" w:cs="Calibri"/>
          <w:b w:val="0"/>
          <w:bCs w:val="0"/>
          <w:iCs/>
        </w:rPr>
        <w:t>Q</w:t>
      </w:r>
      <w:r w:rsidR="00500736">
        <w:rPr>
          <w:rFonts w:ascii="Calibri" w:hAnsi="Calibri" w:cs="Calibri"/>
          <w:b w:val="0"/>
          <w:bCs w:val="0"/>
          <w:iCs/>
        </w:rPr>
        <w:t xml:space="preserve">uality </w:t>
      </w:r>
      <w:r w:rsidRPr="009A3685">
        <w:rPr>
          <w:rFonts w:ascii="Calibri" w:hAnsi="Calibri" w:cs="Calibri"/>
          <w:b w:val="0"/>
          <w:bCs w:val="0"/>
          <w:iCs/>
        </w:rPr>
        <w:t>C</w:t>
      </w:r>
      <w:r w:rsidR="00500736">
        <w:rPr>
          <w:rFonts w:ascii="Calibri" w:hAnsi="Calibri" w:cs="Calibri"/>
          <w:b w:val="0"/>
          <w:bCs w:val="0"/>
          <w:iCs/>
        </w:rPr>
        <w:t>ouncil</w:t>
      </w:r>
      <w:r w:rsidRPr="009A3685">
        <w:rPr>
          <w:rFonts w:ascii="Calibri" w:hAnsi="Calibri" w:cs="Calibri"/>
          <w:b w:val="0"/>
          <w:bCs w:val="0"/>
          <w:iCs/>
        </w:rPr>
        <w:t>.</w:t>
      </w:r>
    </w:p>
    <w:p w14:paraId="064A5A32" w14:textId="4DDADA52" w:rsidR="00195575" w:rsidRPr="009A3685" w:rsidRDefault="00195575" w:rsidP="00B445A8">
      <w:pPr>
        <w:pStyle w:val="QualityManualheading2"/>
        <w:numPr>
          <w:ilvl w:val="0"/>
          <w:numId w:val="38"/>
        </w:numPr>
        <w:spacing w:after="200" w:line="276" w:lineRule="auto"/>
        <w:jc w:val="both"/>
        <w:rPr>
          <w:rFonts w:ascii="Calibri" w:hAnsi="Calibri" w:cs="Calibri"/>
          <w:b w:val="0"/>
          <w:bCs w:val="0"/>
          <w:iCs/>
        </w:rPr>
      </w:pPr>
      <w:r w:rsidRPr="009A3685">
        <w:rPr>
          <w:rFonts w:ascii="Calibri" w:hAnsi="Calibri" w:cs="Calibri"/>
          <w:b w:val="0"/>
          <w:bCs w:val="0"/>
          <w:iCs/>
        </w:rPr>
        <w:t xml:space="preserve">Tests are performed and reported in accordance with the </w:t>
      </w:r>
      <w:r w:rsidR="00AB5CA2">
        <w:rPr>
          <w:rFonts w:ascii="Calibri" w:hAnsi="Calibri" w:cs="Calibri"/>
          <w:b w:val="0"/>
          <w:bCs w:val="0"/>
          <w:iCs/>
        </w:rPr>
        <w:t>technical specifications contained in booklets two and three.</w:t>
      </w:r>
    </w:p>
    <w:p w14:paraId="6D72F6AB" w14:textId="77777777" w:rsidR="00195575" w:rsidRDefault="00195575" w:rsidP="00195575">
      <w:pPr>
        <w:rPr>
          <w:b/>
          <w:caps/>
          <w:sz w:val="24"/>
          <w:szCs w:val="24"/>
        </w:rPr>
      </w:pPr>
    </w:p>
    <w:p w14:paraId="6E6DFB66" w14:textId="77777777" w:rsidR="00195575" w:rsidRPr="00875F10" w:rsidRDefault="00195575" w:rsidP="00195575">
      <w:pPr>
        <w:rPr>
          <w:b/>
          <w:caps/>
        </w:rPr>
      </w:pPr>
      <w:bookmarkStart w:id="8" w:name="Confidentiality"/>
      <w:bookmarkEnd w:id="8"/>
      <w:r w:rsidRPr="00875F10">
        <w:rPr>
          <w:b/>
          <w:caps/>
        </w:rPr>
        <w:t xml:space="preserve">Spreadmark Confidentiality protocol </w:t>
      </w:r>
    </w:p>
    <w:p w14:paraId="0C526CDF" w14:textId="77777777" w:rsidR="00195575" w:rsidRPr="009E628F" w:rsidRDefault="00195575" w:rsidP="00195575">
      <w:pPr>
        <w:spacing w:before="120" w:after="240"/>
        <w:jc w:val="both"/>
        <w:rPr>
          <w:b/>
        </w:rPr>
      </w:pPr>
      <w:r w:rsidRPr="009E628F">
        <w:rPr>
          <w:b/>
        </w:rPr>
        <w:t>Scope</w:t>
      </w:r>
    </w:p>
    <w:p w14:paraId="51276161" w14:textId="46355792" w:rsidR="00195575" w:rsidRPr="009E628F" w:rsidRDefault="00195575" w:rsidP="00195575">
      <w:pPr>
        <w:spacing w:before="120" w:after="240" w:line="240" w:lineRule="auto"/>
        <w:jc w:val="both"/>
      </w:pPr>
      <w:r w:rsidRPr="009E628F">
        <w:t xml:space="preserve">This protocol relates to the protection of information relating to </w:t>
      </w:r>
      <w:r w:rsidR="001B2C25">
        <w:t>nut</w:t>
      </w:r>
      <w:r w:rsidR="00277F8B">
        <w:t>rient</w:t>
      </w:r>
      <w:r w:rsidRPr="009E628F">
        <w:t xml:space="preserve"> spreading companies which have applied for or gained Spreadmark </w:t>
      </w:r>
      <w:r w:rsidR="00AE0A42">
        <w:t>certification</w:t>
      </w:r>
      <w:r w:rsidRPr="009E628F">
        <w:t>.</w:t>
      </w:r>
    </w:p>
    <w:p w14:paraId="6ECFB32E" w14:textId="77777777" w:rsidR="00195575" w:rsidRPr="009E628F" w:rsidRDefault="00195575" w:rsidP="00195575">
      <w:pPr>
        <w:spacing w:before="120" w:after="240"/>
        <w:ind w:left="851" w:hanging="851"/>
        <w:jc w:val="both"/>
        <w:rPr>
          <w:b/>
        </w:rPr>
      </w:pPr>
      <w:r w:rsidRPr="009E628F">
        <w:rPr>
          <w:b/>
        </w:rPr>
        <w:t>Confidentiality of information</w:t>
      </w:r>
    </w:p>
    <w:p w14:paraId="5ECDBF91" w14:textId="076D5AFA" w:rsidR="00195575" w:rsidRDefault="0085313E" w:rsidP="00EF375B">
      <w:pPr>
        <w:pStyle w:val="ListParagraph"/>
        <w:numPr>
          <w:ilvl w:val="0"/>
          <w:numId w:val="26"/>
        </w:numPr>
        <w:spacing w:before="120" w:after="240"/>
        <w:jc w:val="both"/>
      </w:pPr>
      <w:r>
        <w:t xml:space="preserve">Once a nutrient application contractor </w:t>
      </w:r>
      <w:r w:rsidR="00996C4C">
        <w:t xml:space="preserve">receives Spreadmark </w:t>
      </w:r>
      <w:r w:rsidR="00514939">
        <w:t>certification</w:t>
      </w:r>
      <w:r w:rsidR="00996C4C">
        <w:t>, their details will be published</w:t>
      </w:r>
      <w:r w:rsidR="00A27B0C">
        <w:t xml:space="preserve"> </w:t>
      </w:r>
      <w:hyperlink r:id="rId30" w:history="1">
        <w:r w:rsidR="00F06C08" w:rsidRPr="002F5180">
          <w:rPr>
            <w:rStyle w:val="Hyperlink"/>
          </w:rPr>
          <w:t>https://fertqual.co.nz/resources/</w:t>
        </w:r>
      </w:hyperlink>
      <w:r w:rsidR="002C56C0">
        <w:t xml:space="preserve"> </w:t>
      </w:r>
    </w:p>
    <w:p w14:paraId="2FDE6EDF" w14:textId="77777777" w:rsidR="002A2577" w:rsidRDefault="002A2577" w:rsidP="002A2577">
      <w:pPr>
        <w:pStyle w:val="ListParagraph"/>
        <w:spacing w:before="120" w:after="240"/>
        <w:ind w:left="852"/>
        <w:jc w:val="both"/>
      </w:pPr>
    </w:p>
    <w:p w14:paraId="521E0C85" w14:textId="1C37D023" w:rsidR="00155AF0" w:rsidRPr="001C58BD" w:rsidRDefault="00155AF0" w:rsidP="001C58BD">
      <w:pPr>
        <w:pStyle w:val="ListParagraph"/>
        <w:numPr>
          <w:ilvl w:val="0"/>
          <w:numId w:val="26"/>
        </w:numPr>
        <w:spacing w:before="120" w:after="240"/>
        <w:jc w:val="both"/>
      </w:pPr>
      <w:r w:rsidRPr="001C58BD">
        <w:rPr>
          <w:rFonts w:asciiTheme="minorHAnsi" w:eastAsia="Arial" w:hAnsiTheme="minorHAnsi" w:cstheme="minorHAnsi"/>
        </w:rPr>
        <w:t>All information and data collected from a company by the Auditor in carrying out the obligations to Spreadmark is confidential to that company and the Auditor apart from the following exceptions:</w:t>
      </w:r>
    </w:p>
    <w:p w14:paraId="65D32DBF" w14:textId="25A7381A" w:rsidR="00155AF0" w:rsidRPr="00EF375B" w:rsidRDefault="00155AF0" w:rsidP="00EF375B">
      <w:pPr>
        <w:numPr>
          <w:ilvl w:val="0"/>
          <w:numId w:val="24"/>
        </w:numPr>
        <w:pBdr>
          <w:top w:val="nil"/>
          <w:left w:val="nil"/>
          <w:bottom w:val="nil"/>
          <w:right w:val="nil"/>
          <w:between w:val="nil"/>
        </w:pBdr>
        <w:spacing w:before="120" w:after="0"/>
        <w:ind w:left="1418" w:hanging="567"/>
        <w:jc w:val="both"/>
        <w:rPr>
          <w:rFonts w:asciiTheme="minorHAnsi" w:eastAsia="Arial" w:hAnsiTheme="minorHAnsi" w:cstheme="minorHAnsi"/>
          <w:color w:val="000000"/>
        </w:rPr>
      </w:pPr>
      <w:r w:rsidRPr="00EF375B">
        <w:rPr>
          <w:rFonts w:asciiTheme="minorHAnsi" w:eastAsia="Arial" w:hAnsiTheme="minorHAnsi" w:cstheme="minorHAnsi"/>
          <w:color w:val="000000"/>
        </w:rPr>
        <w:t xml:space="preserve">The normal recommendations from the Auditor to the Executive Director, or their delegation, about </w:t>
      </w:r>
      <w:r w:rsidR="004E5DCE">
        <w:rPr>
          <w:rFonts w:asciiTheme="minorHAnsi" w:eastAsia="Arial" w:hAnsiTheme="minorHAnsi" w:cstheme="minorHAnsi"/>
          <w:color w:val="000000"/>
        </w:rPr>
        <w:t>certifica</w:t>
      </w:r>
      <w:r w:rsidR="00BD0978">
        <w:rPr>
          <w:rFonts w:asciiTheme="minorHAnsi" w:eastAsia="Arial" w:hAnsiTheme="minorHAnsi" w:cstheme="minorHAnsi"/>
          <w:color w:val="000000"/>
        </w:rPr>
        <w:t>tion</w:t>
      </w:r>
      <w:r w:rsidRPr="00EF375B">
        <w:rPr>
          <w:rFonts w:asciiTheme="minorHAnsi" w:eastAsia="Arial" w:hAnsiTheme="minorHAnsi" w:cstheme="minorHAnsi"/>
          <w:color w:val="000000"/>
        </w:rPr>
        <w:t>s, de-</w:t>
      </w:r>
      <w:r w:rsidR="00BD0978">
        <w:rPr>
          <w:rFonts w:asciiTheme="minorHAnsi" w:eastAsia="Arial" w:hAnsiTheme="minorHAnsi" w:cstheme="minorHAnsi"/>
          <w:color w:val="000000"/>
        </w:rPr>
        <w:t>certifi</w:t>
      </w:r>
      <w:r w:rsidR="009A5AA4">
        <w:rPr>
          <w:rFonts w:asciiTheme="minorHAnsi" w:eastAsia="Arial" w:hAnsiTheme="minorHAnsi" w:cstheme="minorHAnsi"/>
          <w:color w:val="000000"/>
        </w:rPr>
        <w:t>c</w:t>
      </w:r>
      <w:r w:rsidRPr="00EF375B">
        <w:rPr>
          <w:rFonts w:asciiTheme="minorHAnsi" w:eastAsia="Arial" w:hAnsiTheme="minorHAnsi" w:cstheme="minorHAnsi"/>
          <w:color w:val="000000"/>
        </w:rPr>
        <w:t xml:space="preserve">ations, and amendments.  </w:t>
      </w:r>
    </w:p>
    <w:p w14:paraId="718ED3A6" w14:textId="77777777" w:rsidR="00155AF0" w:rsidRPr="00EF375B" w:rsidRDefault="00155AF0" w:rsidP="00EF375B">
      <w:pPr>
        <w:numPr>
          <w:ilvl w:val="0"/>
          <w:numId w:val="24"/>
        </w:numPr>
        <w:pBdr>
          <w:top w:val="nil"/>
          <w:left w:val="nil"/>
          <w:bottom w:val="nil"/>
          <w:right w:val="nil"/>
          <w:between w:val="nil"/>
        </w:pBdr>
        <w:spacing w:after="0"/>
        <w:ind w:left="1418" w:hanging="567"/>
        <w:jc w:val="both"/>
        <w:rPr>
          <w:rFonts w:asciiTheme="minorHAnsi" w:eastAsia="Arial" w:hAnsiTheme="minorHAnsi" w:cstheme="minorHAnsi"/>
          <w:color w:val="000000"/>
        </w:rPr>
      </w:pPr>
      <w:r w:rsidRPr="00EF375B">
        <w:rPr>
          <w:rFonts w:asciiTheme="minorHAnsi" w:eastAsia="Arial" w:hAnsiTheme="minorHAnsi" w:cstheme="minorHAnsi"/>
          <w:color w:val="000000"/>
        </w:rPr>
        <w:t>Requests from the Executive Director to the Auditor for information needed for the efficient functioning of the Spreadmark scheme. Such requests will generally be sought only in the following circumstances:</w:t>
      </w:r>
    </w:p>
    <w:p w14:paraId="0F5A6A4A" w14:textId="77777777" w:rsidR="00155AF0" w:rsidRPr="00EF375B" w:rsidRDefault="00155AF0" w:rsidP="00EF375B">
      <w:pPr>
        <w:pBdr>
          <w:top w:val="nil"/>
          <w:left w:val="nil"/>
          <w:bottom w:val="nil"/>
          <w:right w:val="nil"/>
          <w:between w:val="nil"/>
        </w:pBdr>
        <w:spacing w:after="0"/>
        <w:ind w:left="720"/>
        <w:jc w:val="both"/>
        <w:rPr>
          <w:rFonts w:asciiTheme="minorHAnsi" w:eastAsia="Arial" w:hAnsiTheme="minorHAnsi" w:cstheme="minorHAnsi"/>
          <w:color w:val="000000"/>
        </w:rPr>
      </w:pPr>
    </w:p>
    <w:p w14:paraId="1AAC4A6A" w14:textId="1B1FFEC9" w:rsidR="00155AF0" w:rsidRPr="00EF375B" w:rsidRDefault="00155AF0" w:rsidP="00EF375B">
      <w:pPr>
        <w:numPr>
          <w:ilvl w:val="0"/>
          <w:numId w:val="25"/>
        </w:numPr>
        <w:pBdr>
          <w:top w:val="nil"/>
          <w:left w:val="nil"/>
          <w:bottom w:val="nil"/>
          <w:right w:val="nil"/>
          <w:between w:val="nil"/>
        </w:pBdr>
        <w:spacing w:after="0"/>
        <w:ind w:left="1985" w:hanging="566"/>
        <w:jc w:val="both"/>
        <w:rPr>
          <w:rFonts w:asciiTheme="minorHAnsi" w:eastAsia="Arial" w:hAnsiTheme="minorHAnsi" w:cstheme="minorHAnsi"/>
          <w:color w:val="000000"/>
        </w:rPr>
      </w:pPr>
      <w:r w:rsidRPr="00EF375B">
        <w:rPr>
          <w:rFonts w:asciiTheme="minorHAnsi" w:eastAsia="Arial" w:hAnsiTheme="minorHAnsi" w:cstheme="minorHAnsi"/>
          <w:color w:val="000000"/>
        </w:rPr>
        <w:t xml:space="preserve">when a company is not meeting the requirements of Spreadmark </w:t>
      </w:r>
      <w:r w:rsidR="009A5AA4">
        <w:rPr>
          <w:rFonts w:asciiTheme="minorHAnsi" w:eastAsia="Arial" w:hAnsiTheme="minorHAnsi" w:cstheme="minorHAnsi"/>
          <w:color w:val="000000"/>
        </w:rPr>
        <w:t>certification</w:t>
      </w:r>
      <w:r w:rsidRPr="00EF375B">
        <w:rPr>
          <w:rFonts w:asciiTheme="minorHAnsi" w:eastAsia="Arial" w:hAnsiTheme="minorHAnsi" w:cstheme="minorHAnsi"/>
          <w:color w:val="000000"/>
        </w:rPr>
        <w:t xml:space="preserve"> as advised by the Auditor;</w:t>
      </w:r>
    </w:p>
    <w:p w14:paraId="5EAF7A74" w14:textId="77777777" w:rsidR="00155AF0" w:rsidRPr="00EF375B" w:rsidRDefault="00155AF0" w:rsidP="00EF375B">
      <w:pPr>
        <w:numPr>
          <w:ilvl w:val="0"/>
          <w:numId w:val="25"/>
        </w:numPr>
        <w:pBdr>
          <w:top w:val="nil"/>
          <w:left w:val="nil"/>
          <w:bottom w:val="nil"/>
          <w:right w:val="nil"/>
          <w:between w:val="nil"/>
        </w:pBdr>
        <w:spacing w:after="0"/>
        <w:ind w:left="1985" w:hanging="566"/>
        <w:jc w:val="both"/>
        <w:rPr>
          <w:rFonts w:asciiTheme="minorHAnsi" w:eastAsia="Arial" w:hAnsiTheme="minorHAnsi" w:cstheme="minorHAnsi"/>
          <w:color w:val="000000"/>
        </w:rPr>
      </w:pPr>
      <w:r w:rsidRPr="00EF375B">
        <w:rPr>
          <w:rFonts w:asciiTheme="minorHAnsi" w:eastAsia="Arial" w:hAnsiTheme="minorHAnsi" w:cstheme="minorHAnsi"/>
          <w:color w:val="000000"/>
        </w:rPr>
        <w:t>when there is controversy or confusion; or</w:t>
      </w:r>
    </w:p>
    <w:p w14:paraId="42E5418D" w14:textId="77777777" w:rsidR="001C58BD" w:rsidRDefault="00155AF0" w:rsidP="001C58BD">
      <w:pPr>
        <w:numPr>
          <w:ilvl w:val="0"/>
          <w:numId w:val="25"/>
        </w:numPr>
        <w:pBdr>
          <w:top w:val="nil"/>
          <w:left w:val="nil"/>
          <w:bottom w:val="nil"/>
          <w:right w:val="nil"/>
          <w:between w:val="nil"/>
        </w:pBdr>
        <w:spacing w:after="0"/>
        <w:ind w:left="1985" w:hanging="566"/>
        <w:jc w:val="both"/>
        <w:rPr>
          <w:rFonts w:asciiTheme="minorHAnsi" w:eastAsia="Arial" w:hAnsiTheme="minorHAnsi" w:cstheme="minorHAnsi"/>
          <w:color w:val="000000"/>
        </w:rPr>
      </w:pPr>
      <w:r w:rsidRPr="00EF375B">
        <w:rPr>
          <w:rFonts w:asciiTheme="minorHAnsi" w:eastAsia="Arial" w:hAnsiTheme="minorHAnsi" w:cstheme="minorHAnsi"/>
          <w:color w:val="000000"/>
        </w:rPr>
        <w:t>when general operational matters are under review.</w:t>
      </w:r>
    </w:p>
    <w:p w14:paraId="18EE503E" w14:textId="77777777" w:rsidR="00000E9C" w:rsidRDefault="00000E9C" w:rsidP="00000E9C">
      <w:pPr>
        <w:pBdr>
          <w:top w:val="nil"/>
          <w:left w:val="nil"/>
          <w:bottom w:val="nil"/>
          <w:right w:val="nil"/>
          <w:between w:val="nil"/>
        </w:pBdr>
        <w:spacing w:after="0"/>
        <w:jc w:val="both"/>
        <w:rPr>
          <w:rFonts w:asciiTheme="minorHAnsi" w:eastAsia="Arial" w:hAnsiTheme="minorHAnsi" w:cstheme="minorHAnsi"/>
        </w:rPr>
      </w:pPr>
    </w:p>
    <w:p w14:paraId="79125F49" w14:textId="50DE6795" w:rsidR="00000E9C" w:rsidRPr="002A2577" w:rsidRDefault="00155AF0" w:rsidP="00000E9C">
      <w:pPr>
        <w:pStyle w:val="ListParagraph"/>
        <w:numPr>
          <w:ilvl w:val="0"/>
          <w:numId w:val="26"/>
        </w:numPr>
        <w:pBdr>
          <w:top w:val="nil"/>
          <w:left w:val="nil"/>
          <w:bottom w:val="nil"/>
          <w:right w:val="nil"/>
          <w:between w:val="nil"/>
        </w:pBdr>
        <w:spacing w:after="0"/>
        <w:jc w:val="both"/>
        <w:rPr>
          <w:rFonts w:asciiTheme="minorHAnsi" w:eastAsia="Arial" w:hAnsiTheme="minorHAnsi" w:cstheme="minorHAnsi"/>
          <w:color w:val="000000"/>
        </w:rPr>
      </w:pPr>
      <w:r w:rsidRPr="00000E9C">
        <w:rPr>
          <w:rFonts w:asciiTheme="minorHAnsi" w:eastAsia="Arial" w:hAnsiTheme="minorHAnsi" w:cstheme="minorHAnsi"/>
        </w:rPr>
        <w:t>All information held by the Auditor relating to a company is available to that company.</w:t>
      </w:r>
    </w:p>
    <w:p w14:paraId="33D27E34" w14:textId="77777777" w:rsidR="002A2577" w:rsidRPr="00000E9C" w:rsidRDefault="002A2577" w:rsidP="002A2577">
      <w:pPr>
        <w:pStyle w:val="ListParagraph"/>
        <w:pBdr>
          <w:top w:val="nil"/>
          <w:left w:val="nil"/>
          <w:bottom w:val="nil"/>
          <w:right w:val="nil"/>
          <w:between w:val="nil"/>
        </w:pBdr>
        <w:spacing w:after="0"/>
        <w:ind w:left="852"/>
        <w:jc w:val="both"/>
        <w:rPr>
          <w:rFonts w:asciiTheme="minorHAnsi" w:eastAsia="Arial" w:hAnsiTheme="minorHAnsi" w:cstheme="minorHAnsi"/>
          <w:color w:val="000000"/>
        </w:rPr>
      </w:pPr>
    </w:p>
    <w:p w14:paraId="5D9D2C44" w14:textId="62BE3144" w:rsidR="002A2577" w:rsidRPr="002A2577" w:rsidRDefault="00155AF0" w:rsidP="002A2577">
      <w:pPr>
        <w:pStyle w:val="ListParagraph"/>
        <w:numPr>
          <w:ilvl w:val="0"/>
          <w:numId w:val="26"/>
        </w:numPr>
        <w:pBdr>
          <w:top w:val="nil"/>
          <w:left w:val="nil"/>
          <w:bottom w:val="nil"/>
          <w:right w:val="nil"/>
          <w:between w:val="nil"/>
        </w:pBdr>
        <w:spacing w:after="0"/>
        <w:jc w:val="both"/>
        <w:rPr>
          <w:rFonts w:asciiTheme="minorHAnsi" w:eastAsia="Arial" w:hAnsiTheme="minorHAnsi" w:cstheme="minorHAnsi"/>
          <w:color w:val="000000"/>
        </w:rPr>
      </w:pPr>
      <w:r w:rsidRPr="00000E9C">
        <w:rPr>
          <w:rFonts w:asciiTheme="minorHAnsi" w:eastAsia="Arial" w:hAnsiTheme="minorHAnsi" w:cstheme="minorHAnsi"/>
        </w:rPr>
        <w:t xml:space="preserve">If a nutrient application company chooses to withdraw from the Spreadmark </w:t>
      </w:r>
      <w:r w:rsidR="009A5AA4">
        <w:rPr>
          <w:rFonts w:asciiTheme="minorHAnsi" w:eastAsia="Arial" w:hAnsiTheme="minorHAnsi" w:cstheme="minorHAnsi"/>
        </w:rPr>
        <w:t>certification</w:t>
      </w:r>
      <w:r w:rsidRPr="00000E9C">
        <w:rPr>
          <w:rFonts w:asciiTheme="minorHAnsi" w:eastAsia="Arial" w:hAnsiTheme="minorHAnsi" w:cstheme="minorHAnsi"/>
        </w:rPr>
        <w:t xml:space="preserve"> scheme then the Fertiliser Quality Executive Committee reserves the right to publish that the company no longer holds Spreadmark </w:t>
      </w:r>
      <w:r w:rsidR="003146AE">
        <w:rPr>
          <w:rFonts w:asciiTheme="minorHAnsi" w:eastAsia="Arial" w:hAnsiTheme="minorHAnsi" w:cstheme="minorHAnsi"/>
        </w:rPr>
        <w:t>certification</w:t>
      </w:r>
      <w:r w:rsidRPr="00000E9C">
        <w:rPr>
          <w:rFonts w:asciiTheme="minorHAnsi" w:eastAsia="Arial" w:hAnsiTheme="minorHAnsi" w:cstheme="minorHAnsi"/>
        </w:rPr>
        <w:t>.</w:t>
      </w:r>
    </w:p>
    <w:p w14:paraId="71B8033F" w14:textId="77777777" w:rsidR="002A2577" w:rsidRPr="002A2577" w:rsidRDefault="002A2577" w:rsidP="002A2577">
      <w:pPr>
        <w:pStyle w:val="ListParagraph"/>
        <w:rPr>
          <w:rFonts w:asciiTheme="minorHAnsi" w:eastAsia="Arial" w:hAnsiTheme="minorHAnsi" w:cstheme="minorHAnsi"/>
        </w:rPr>
      </w:pPr>
    </w:p>
    <w:p w14:paraId="4061B937" w14:textId="5EBFDE31" w:rsidR="00155AF0" w:rsidRPr="002A2577" w:rsidRDefault="00155AF0" w:rsidP="002A2577">
      <w:pPr>
        <w:pStyle w:val="ListParagraph"/>
        <w:numPr>
          <w:ilvl w:val="0"/>
          <w:numId w:val="26"/>
        </w:numPr>
        <w:pBdr>
          <w:top w:val="nil"/>
          <w:left w:val="nil"/>
          <w:bottom w:val="nil"/>
          <w:right w:val="nil"/>
          <w:between w:val="nil"/>
        </w:pBdr>
        <w:spacing w:after="0"/>
        <w:jc w:val="both"/>
        <w:rPr>
          <w:rFonts w:asciiTheme="minorHAnsi" w:eastAsia="Arial" w:hAnsiTheme="minorHAnsi" w:cstheme="minorHAnsi"/>
          <w:color w:val="000000"/>
        </w:rPr>
      </w:pPr>
      <w:r w:rsidRPr="002A2577">
        <w:rPr>
          <w:rFonts w:asciiTheme="minorHAnsi" w:eastAsia="Arial" w:hAnsiTheme="minorHAnsi" w:cstheme="minorHAnsi"/>
        </w:rPr>
        <w:t>If the nutrient application company is deregistered by the Fertiliser Quality Executive Committee then this committee reserves the right to publish that the company has been de-</w:t>
      </w:r>
      <w:r w:rsidR="00A4250B">
        <w:rPr>
          <w:rFonts w:asciiTheme="minorHAnsi" w:eastAsia="Arial" w:hAnsiTheme="minorHAnsi" w:cstheme="minorHAnsi"/>
        </w:rPr>
        <w:t>certified</w:t>
      </w:r>
      <w:r w:rsidRPr="002A2577">
        <w:rPr>
          <w:rFonts w:asciiTheme="minorHAnsi" w:eastAsia="Arial" w:hAnsiTheme="minorHAnsi" w:cstheme="minorHAnsi"/>
        </w:rPr>
        <w:t xml:space="preserve"> and may make public the reasons why that </w:t>
      </w:r>
      <w:r w:rsidR="00A4250B">
        <w:rPr>
          <w:rFonts w:asciiTheme="minorHAnsi" w:eastAsia="Arial" w:hAnsiTheme="minorHAnsi" w:cstheme="minorHAnsi"/>
        </w:rPr>
        <w:t>certification</w:t>
      </w:r>
      <w:r w:rsidRPr="002A2577">
        <w:rPr>
          <w:rFonts w:asciiTheme="minorHAnsi" w:eastAsia="Arial" w:hAnsiTheme="minorHAnsi" w:cstheme="minorHAnsi"/>
        </w:rPr>
        <w:t xml:space="preserve"> is no longer held.</w:t>
      </w:r>
    </w:p>
    <w:p w14:paraId="61270FA8" w14:textId="77777777" w:rsidR="00195575" w:rsidRDefault="00195575" w:rsidP="00195575">
      <w:pPr>
        <w:rPr>
          <w:b/>
          <w:sz w:val="24"/>
          <w:szCs w:val="24"/>
        </w:rPr>
      </w:pPr>
    </w:p>
    <w:p w14:paraId="32908975" w14:textId="77777777" w:rsidR="00195575" w:rsidRPr="00875F10" w:rsidRDefault="00195575" w:rsidP="00195575">
      <w:pPr>
        <w:rPr>
          <w:b/>
        </w:rPr>
      </w:pPr>
      <w:bookmarkStart w:id="9" w:name="Advertising"/>
      <w:bookmarkEnd w:id="9"/>
      <w:r w:rsidRPr="00875F10">
        <w:rPr>
          <w:b/>
          <w:caps/>
        </w:rPr>
        <w:t>Spreadmark code of conduct for advertising and promotion</w:t>
      </w:r>
    </w:p>
    <w:p w14:paraId="6DF616C8" w14:textId="77777777" w:rsidR="00195575" w:rsidRPr="009E628F" w:rsidRDefault="00195575" w:rsidP="00195575">
      <w:pPr>
        <w:spacing w:before="120" w:after="240"/>
        <w:jc w:val="both"/>
        <w:rPr>
          <w:b/>
        </w:rPr>
      </w:pPr>
      <w:r w:rsidRPr="009E628F">
        <w:rPr>
          <w:b/>
        </w:rPr>
        <w:t>Scope</w:t>
      </w:r>
    </w:p>
    <w:p w14:paraId="14D4E939" w14:textId="21463DFB" w:rsidR="00195575" w:rsidRPr="009E628F" w:rsidRDefault="00195575" w:rsidP="00195575">
      <w:pPr>
        <w:spacing w:before="120" w:after="240" w:line="240" w:lineRule="auto"/>
        <w:jc w:val="both"/>
      </w:pPr>
      <w:r w:rsidRPr="009E628F">
        <w:t xml:space="preserve">This is the Code of Conduct for the behaviour of </w:t>
      </w:r>
      <w:r w:rsidR="00E62351">
        <w:t xml:space="preserve">nutrient </w:t>
      </w:r>
      <w:r w:rsidRPr="009E628F">
        <w:t>spreading companies with respect to advertising and promotion.</w:t>
      </w:r>
    </w:p>
    <w:p w14:paraId="4703FF35" w14:textId="77777777" w:rsidR="00195575" w:rsidRPr="009E628F" w:rsidRDefault="00195575" w:rsidP="00195575">
      <w:pPr>
        <w:spacing w:before="120" w:after="240"/>
        <w:jc w:val="both"/>
        <w:rPr>
          <w:b/>
        </w:rPr>
      </w:pPr>
      <w:r w:rsidRPr="009E628F">
        <w:rPr>
          <w:b/>
        </w:rPr>
        <w:t>Code of conduct</w:t>
      </w:r>
    </w:p>
    <w:p w14:paraId="0C556692" w14:textId="1EC48DAB" w:rsidR="00F6232D" w:rsidRDefault="00F6232D" w:rsidP="00F6232D">
      <w:pPr>
        <w:spacing w:before="120" w:after="240"/>
        <w:ind w:left="720" w:hanging="720"/>
        <w:jc w:val="both"/>
      </w:pPr>
      <w:r>
        <w:lastRenderedPageBreak/>
        <w:t>1.</w:t>
      </w:r>
      <w:r>
        <w:tab/>
        <w:t xml:space="preserve">Compliance with this Code of Conduct is a condition of ongoing </w:t>
      </w:r>
      <w:r w:rsidR="000C61CC">
        <w:t>certification</w:t>
      </w:r>
      <w:r>
        <w:t xml:space="preserve"> or association with the Spreadmark scheme.</w:t>
      </w:r>
    </w:p>
    <w:p w14:paraId="434C9973" w14:textId="073022BE" w:rsidR="00F6232D" w:rsidRDefault="00F6232D" w:rsidP="00F6232D">
      <w:pPr>
        <w:spacing w:before="120" w:after="240"/>
        <w:ind w:left="720" w:hanging="720"/>
        <w:jc w:val="both"/>
      </w:pPr>
      <w:r>
        <w:t>2.</w:t>
      </w:r>
      <w:r>
        <w:tab/>
        <w:t>As per the</w:t>
      </w:r>
      <w:r w:rsidR="00E94A2A">
        <w:t xml:space="preserve"> New Zealand Advertising Standards Code </w:t>
      </w:r>
      <w:r w:rsidR="00965183" w:rsidRPr="00965183">
        <w:rPr>
          <w:color w:val="1155CC"/>
          <w:u w:val="single"/>
        </w:rPr>
        <w:t>https://cdn.asa.co.nz/wp-content/uploads/2022/11/ASA-Advertising-Standards-Code.pdf</w:t>
      </w:r>
      <w:r>
        <w:t xml:space="preserve"> all advertisements pertaining to Spreadmark must be responsible advertisements.  All advertising must be legal, decent, honest and truthful and respect the principles of fair competition, so that the public can have confidence in advertising.  i</w:t>
      </w:r>
      <w:r w:rsidR="00B445A8">
        <w:t>.</w:t>
      </w:r>
      <w:r>
        <w:t>e</w:t>
      </w:r>
      <w:r w:rsidR="00B445A8">
        <w:t>.</w:t>
      </w:r>
      <w:r>
        <w:t xml:space="preserve"> Methods of marketing must never be such as to invite unfavourable comment or bring discredit upon either the nutrient manufacturing or spreading industries or upon other Spreadmark registered companies.  These precepts are embodied in the detailed provisions of the Code as set out hereunder.</w:t>
      </w:r>
    </w:p>
    <w:p w14:paraId="6CA7A345" w14:textId="10A73E6C" w:rsidR="00F6232D" w:rsidRDefault="00F6232D" w:rsidP="0055154C">
      <w:pPr>
        <w:spacing w:before="120" w:after="240"/>
        <w:ind w:left="720" w:hanging="720"/>
        <w:jc w:val="both"/>
      </w:pPr>
      <w:r>
        <w:t>3.</w:t>
      </w:r>
      <w:r>
        <w:tab/>
        <w:t xml:space="preserve">This Code is administered by the Fertiliser Quality Council Executive Committee. Complaints relating to alleged breaches of this Code of Conduct </w:t>
      </w:r>
      <w:r w:rsidR="00D84273">
        <w:t>shall</w:t>
      </w:r>
      <w:r>
        <w:t xml:space="preserve"> follow the</w:t>
      </w:r>
      <w:r w:rsidR="00072C6B">
        <w:t xml:space="preserve"> </w:t>
      </w:r>
      <w:hyperlink w:anchor="Complaints" w:history="1">
        <w:r w:rsidR="00072C6B" w:rsidRPr="00927D91">
          <w:rPr>
            <w:rStyle w:val="Hyperlink"/>
          </w:rPr>
          <w:t>Spreadmark Procedure for Complaints</w:t>
        </w:r>
      </w:hyperlink>
      <w:r w:rsidR="00072C6B">
        <w:t xml:space="preserve">. </w:t>
      </w:r>
      <w:r>
        <w:t xml:space="preserve"> </w:t>
      </w:r>
    </w:p>
    <w:p w14:paraId="195D9FA5" w14:textId="4FCFBC66" w:rsidR="00F6232D" w:rsidRDefault="00EA56F3" w:rsidP="00D5623F">
      <w:pPr>
        <w:spacing w:before="120" w:after="240"/>
        <w:ind w:left="720" w:hanging="720"/>
        <w:jc w:val="both"/>
      </w:pPr>
      <w:r>
        <w:t>4</w:t>
      </w:r>
      <w:r w:rsidR="00F6232D">
        <w:t>.</w:t>
      </w:r>
      <w:r w:rsidR="00F6232D">
        <w:tab/>
        <w:t xml:space="preserve">The </w:t>
      </w:r>
      <w:r w:rsidR="00393D8D">
        <w:t>Code</w:t>
      </w:r>
      <w:r w:rsidR="00F6232D">
        <w:t xml:space="preserve"> </w:t>
      </w:r>
      <w:r w:rsidR="00F6232D" w:rsidRPr="00C33FE7">
        <w:t>entitles companies to use the Spreadmark logo in specific ways</w:t>
      </w:r>
      <w:r w:rsidR="009153CD" w:rsidRPr="00C33FE7">
        <w:t xml:space="preserve"> – refer</w:t>
      </w:r>
      <w:r w:rsidR="00F6232D" w:rsidRPr="00C33FE7">
        <w:t xml:space="preserve"> Brand Guidelines </w:t>
      </w:r>
      <w:r w:rsidR="002F0341">
        <w:t>found here</w:t>
      </w:r>
      <w:r w:rsidR="009E35D0">
        <w:t xml:space="preserve"> </w:t>
      </w:r>
      <w:hyperlink r:id="rId31" w:history="1">
        <w:r w:rsidR="009E35D0" w:rsidRPr="001F610A">
          <w:rPr>
            <w:rStyle w:val="Hyperlink"/>
          </w:rPr>
          <w:t>https://fertqual.co.nz/resources/</w:t>
        </w:r>
      </w:hyperlink>
      <w:r w:rsidR="00393D8D">
        <w:t>.</w:t>
      </w:r>
      <w:r w:rsidR="009E35D0">
        <w:t xml:space="preserve"> </w:t>
      </w:r>
      <w:r w:rsidR="00F6232D">
        <w:t xml:space="preserve">Services must not be marketed with any direct or indirect reference to Spreadmark unless they comply with all relevant statutory legislation and Spreadmark requirements. </w:t>
      </w:r>
    </w:p>
    <w:p w14:paraId="6265BE56" w14:textId="34471471" w:rsidR="00F6232D" w:rsidRDefault="00F6232D" w:rsidP="0092606D">
      <w:pPr>
        <w:spacing w:before="120" w:after="240"/>
        <w:ind w:left="720" w:hanging="720"/>
        <w:jc w:val="both"/>
      </w:pPr>
      <w:r>
        <w:t>.</w:t>
      </w:r>
      <w:r>
        <w:tab/>
        <w:t xml:space="preserve">When nutrient spreading companies use spreading </w:t>
      </w:r>
      <w:r w:rsidR="005A7265">
        <w:t>units</w:t>
      </w:r>
      <w:r>
        <w:t xml:space="preserve"> that do not have a current Spreadmark test </w:t>
      </w:r>
      <w:r w:rsidR="00A9061F">
        <w:t>certificate or</w:t>
      </w:r>
      <w:r>
        <w:t xml:space="preserve"> use operators that do not have a current Spreadmark training certificate, there must be no suggestion in any marketing or other information that the company’s Spreadmark </w:t>
      </w:r>
      <w:r w:rsidR="000C61CC">
        <w:t>certification</w:t>
      </w:r>
      <w:r>
        <w:t xml:space="preserve"> covers such </w:t>
      </w:r>
      <w:r w:rsidR="00CE297B">
        <w:t>units</w:t>
      </w:r>
      <w:r>
        <w:t xml:space="preserve"> or operators.</w:t>
      </w:r>
    </w:p>
    <w:p w14:paraId="7443D2BD" w14:textId="42205AEC" w:rsidR="00F6232D" w:rsidRDefault="0092606D" w:rsidP="0092606D">
      <w:pPr>
        <w:spacing w:before="120" w:after="240"/>
        <w:ind w:left="720" w:hanging="720"/>
        <w:jc w:val="both"/>
      </w:pPr>
      <w:r>
        <w:t>6</w:t>
      </w:r>
      <w:r w:rsidR="00F6232D">
        <w:t>.</w:t>
      </w:r>
      <w:r w:rsidR="00F6232D">
        <w:tab/>
        <w:t>Promotional material should not imitate the devices, slogans or general layout adopted by other companies in a way that is likely to mislead or confuse.</w:t>
      </w:r>
    </w:p>
    <w:p w14:paraId="68F89345" w14:textId="32B22B74" w:rsidR="00F6232D" w:rsidRDefault="0092606D" w:rsidP="0092606D">
      <w:pPr>
        <w:spacing w:before="120" w:after="240"/>
        <w:ind w:left="720" w:hanging="720"/>
        <w:jc w:val="both"/>
      </w:pPr>
      <w:r>
        <w:t>7</w:t>
      </w:r>
      <w:r w:rsidR="00F6232D">
        <w:t>.</w:t>
      </w:r>
      <w:r w:rsidR="00F6232D">
        <w:tab/>
        <w:t>Advertisements which make use of scientific data should clearly state the source of that data, which must not be used out of context or in such a manner that it does not accurately reflect or portray the overall conclusions of that research. Wherever possible, previously unpublished data, including verbal communications on a subject, may not be used for advertising purposes unless specific written consent is obtained from the originating organisations, or the individual(s) concerned, after they have viewed the advertisement in question.</w:t>
      </w:r>
    </w:p>
    <w:p w14:paraId="1E22623D" w14:textId="18985B07" w:rsidR="00195575" w:rsidRPr="00A90DDB" w:rsidRDefault="00195575" w:rsidP="00195575">
      <w:pPr>
        <w:spacing w:before="120" w:after="240"/>
        <w:ind w:left="851" w:hanging="851"/>
        <w:jc w:val="both"/>
      </w:pPr>
    </w:p>
    <w:p w14:paraId="281F75FC" w14:textId="0D7A386F" w:rsidR="00195575" w:rsidRPr="00875F10" w:rsidRDefault="00195575" w:rsidP="00195575">
      <w:pPr>
        <w:rPr>
          <w:b/>
          <w:caps/>
        </w:rPr>
      </w:pPr>
      <w:r w:rsidRPr="00875F10">
        <w:rPr>
          <w:b/>
          <w:caps/>
        </w:rPr>
        <w:t xml:space="preserve">Spreadmark levy </w:t>
      </w:r>
      <w:bookmarkStart w:id="10" w:name="Levy"/>
      <w:bookmarkEnd w:id="10"/>
      <w:r w:rsidR="00AE0FEC">
        <w:rPr>
          <w:b/>
          <w:caps/>
        </w:rPr>
        <w:t xml:space="preserve">– </w:t>
      </w:r>
      <w:r w:rsidR="00AE0FEC" w:rsidRPr="00AE0FEC">
        <w:rPr>
          <w:b/>
          <w:caps/>
          <w:highlight w:val="yellow"/>
        </w:rPr>
        <w:t>PARK FOR LATER</w:t>
      </w:r>
    </w:p>
    <w:p w14:paraId="59FE0462" w14:textId="77777777" w:rsidR="00195575" w:rsidRPr="009E628F" w:rsidRDefault="00195575" w:rsidP="00195575">
      <w:pPr>
        <w:spacing w:before="120" w:after="240"/>
        <w:jc w:val="both"/>
        <w:rPr>
          <w:b/>
        </w:rPr>
      </w:pPr>
      <w:r w:rsidRPr="009E628F">
        <w:rPr>
          <w:b/>
        </w:rPr>
        <w:t>Scope</w:t>
      </w:r>
    </w:p>
    <w:p w14:paraId="00FB1A84" w14:textId="77777777" w:rsidR="00195575" w:rsidRPr="009E628F" w:rsidRDefault="00195575" w:rsidP="00195575">
      <w:pPr>
        <w:spacing w:before="120" w:after="240" w:line="240" w:lineRule="auto"/>
        <w:jc w:val="both"/>
      </w:pPr>
      <w:r w:rsidRPr="009E628F">
        <w:t>This policy describes the collection and utilisation of the Spreadmark levy.</w:t>
      </w:r>
    </w:p>
    <w:p w14:paraId="3C34F78B" w14:textId="77777777" w:rsidR="00195575" w:rsidRPr="009E628F" w:rsidRDefault="00195575" w:rsidP="00195575">
      <w:pPr>
        <w:spacing w:before="120" w:after="240"/>
        <w:jc w:val="both"/>
        <w:rPr>
          <w:b/>
        </w:rPr>
      </w:pPr>
      <w:r w:rsidRPr="009E628F">
        <w:rPr>
          <w:b/>
        </w:rPr>
        <w:t>Levy policy</w:t>
      </w:r>
    </w:p>
    <w:p w14:paraId="3581D580" w14:textId="77777777" w:rsidR="00E64E06" w:rsidRPr="000B157E" w:rsidRDefault="00E64E06" w:rsidP="000B157E">
      <w:pPr>
        <w:spacing w:before="120" w:after="120"/>
        <w:ind w:left="851" w:hanging="851"/>
        <w:jc w:val="both"/>
        <w:rPr>
          <w:rFonts w:asciiTheme="minorHAnsi" w:eastAsia="Arial" w:hAnsiTheme="minorHAnsi" w:cstheme="minorHAnsi"/>
        </w:rPr>
      </w:pPr>
      <w:bookmarkStart w:id="11" w:name="Application"/>
      <w:bookmarkEnd w:id="11"/>
      <w:r w:rsidRPr="000B157E">
        <w:rPr>
          <w:rFonts w:asciiTheme="minorHAnsi" w:eastAsia="Arial" w:hAnsiTheme="minorHAnsi" w:cstheme="minorHAnsi"/>
        </w:rPr>
        <w:t>1.</w:t>
      </w:r>
      <w:r w:rsidRPr="000B157E">
        <w:rPr>
          <w:rFonts w:asciiTheme="minorHAnsi" w:eastAsia="Arial" w:hAnsiTheme="minorHAnsi" w:cstheme="minorHAnsi"/>
        </w:rPr>
        <w:tab/>
        <w:t>The Levy covers promotion, the use of the brand, administration………….</w:t>
      </w:r>
    </w:p>
    <w:p w14:paraId="50E85F39" w14:textId="77777777" w:rsidR="00E64E06" w:rsidRPr="000B157E" w:rsidRDefault="00E64E06" w:rsidP="000B157E">
      <w:pPr>
        <w:spacing w:before="120" w:after="120"/>
        <w:ind w:left="851" w:hanging="851"/>
        <w:jc w:val="both"/>
        <w:rPr>
          <w:rFonts w:asciiTheme="minorHAnsi" w:eastAsia="Arial" w:hAnsiTheme="minorHAnsi" w:cstheme="minorHAnsi"/>
          <w:highlight w:val="yellow"/>
        </w:rPr>
      </w:pPr>
      <w:r w:rsidRPr="000B157E">
        <w:rPr>
          <w:rFonts w:asciiTheme="minorHAnsi" w:eastAsia="Arial" w:hAnsiTheme="minorHAnsi" w:cstheme="minorHAnsi"/>
        </w:rPr>
        <w:lastRenderedPageBreak/>
        <w:t xml:space="preserve">2. </w:t>
      </w:r>
      <w:r w:rsidRPr="000B157E">
        <w:rPr>
          <w:rFonts w:asciiTheme="minorHAnsi" w:eastAsia="Arial" w:hAnsiTheme="minorHAnsi" w:cstheme="minorHAnsi"/>
        </w:rPr>
        <w:tab/>
        <w:t>The Spreadmark budget will be set by the Fertiliser Quality Council on an annual basis as part of the setting of the Spreadmark budget.  Once the budget is set this will be used to determine the Spreadmark levy.</w:t>
      </w:r>
    </w:p>
    <w:p w14:paraId="7D99F1BC" w14:textId="77777777" w:rsidR="00E64E06" w:rsidRDefault="00E64E06" w:rsidP="000B157E">
      <w:pPr>
        <w:spacing w:before="120" w:after="120"/>
        <w:ind w:left="851" w:hanging="851"/>
        <w:jc w:val="both"/>
        <w:rPr>
          <w:rFonts w:asciiTheme="minorHAnsi" w:eastAsia="Arial" w:hAnsiTheme="minorHAnsi" w:cstheme="minorHAnsi"/>
        </w:rPr>
      </w:pPr>
      <w:r w:rsidRPr="000B157E">
        <w:rPr>
          <w:rFonts w:asciiTheme="minorHAnsi" w:eastAsia="Arial" w:hAnsiTheme="minorHAnsi" w:cstheme="minorHAnsi"/>
        </w:rPr>
        <w:t>3.</w:t>
      </w:r>
      <w:r w:rsidRPr="000B157E">
        <w:rPr>
          <w:rFonts w:asciiTheme="minorHAnsi" w:eastAsia="Arial" w:hAnsiTheme="minorHAnsi" w:cstheme="minorHAnsi"/>
        </w:rPr>
        <w:tab/>
        <w:t>The levy will be invoiced 12-monthly.</w:t>
      </w:r>
    </w:p>
    <w:p w14:paraId="515A6D73" w14:textId="77777777" w:rsidR="00F326D2" w:rsidRPr="000B157E" w:rsidRDefault="00F326D2" w:rsidP="000B157E">
      <w:pPr>
        <w:spacing w:before="120" w:after="120"/>
        <w:ind w:left="851" w:hanging="851"/>
        <w:jc w:val="both"/>
        <w:rPr>
          <w:rFonts w:asciiTheme="minorHAnsi" w:eastAsia="Arial" w:hAnsiTheme="minorHAnsi" w:cstheme="minorHAnsi"/>
        </w:rPr>
      </w:pPr>
    </w:p>
    <w:p w14:paraId="6E22842A" w14:textId="77777777" w:rsidR="00195575" w:rsidRPr="00005C37" w:rsidRDefault="00195575" w:rsidP="00005C37">
      <w:pPr>
        <w:spacing w:before="120" w:after="240"/>
        <w:jc w:val="both"/>
        <w:rPr>
          <w:b/>
          <w:bCs/>
          <w:caps/>
        </w:rPr>
      </w:pPr>
      <w:bookmarkStart w:id="12" w:name="Mergers"/>
      <w:r w:rsidRPr="00005C37">
        <w:rPr>
          <w:b/>
          <w:bCs/>
          <w:caps/>
        </w:rPr>
        <w:t>Spreadmark Policy on Company Mergers</w:t>
      </w:r>
    </w:p>
    <w:bookmarkEnd w:id="12"/>
    <w:p w14:paraId="3D3530C6" w14:textId="77777777" w:rsidR="00195575" w:rsidRPr="009E628F" w:rsidRDefault="00195575" w:rsidP="00195575">
      <w:pPr>
        <w:spacing w:before="120" w:after="120"/>
        <w:ind w:left="851" w:hanging="851"/>
        <w:jc w:val="both"/>
        <w:rPr>
          <w:b/>
          <w:bCs/>
        </w:rPr>
      </w:pPr>
      <w:r w:rsidRPr="009E628F">
        <w:rPr>
          <w:b/>
          <w:bCs/>
        </w:rPr>
        <w:t>Scope:</w:t>
      </w:r>
    </w:p>
    <w:p w14:paraId="3C9CFCF6" w14:textId="77777777" w:rsidR="00195575" w:rsidRPr="009E628F" w:rsidRDefault="00195575" w:rsidP="00195575">
      <w:pPr>
        <w:spacing w:before="120" w:after="240" w:line="240" w:lineRule="auto"/>
        <w:jc w:val="both"/>
      </w:pPr>
      <w:r w:rsidRPr="009E628F">
        <w:t>This policy relates to the situation when Spreadmark registered companies acquire other companies.</w:t>
      </w:r>
    </w:p>
    <w:p w14:paraId="6DA14BD2" w14:textId="77777777" w:rsidR="00195575" w:rsidRPr="0023631D" w:rsidRDefault="00195575" w:rsidP="00195575">
      <w:pPr>
        <w:spacing w:before="120" w:after="120"/>
        <w:ind w:left="851" w:hanging="851"/>
        <w:jc w:val="both"/>
      </w:pPr>
      <w:r w:rsidRPr="009E628F">
        <w:rPr>
          <w:b/>
          <w:bCs/>
        </w:rPr>
        <w:t>Company Mergers:</w:t>
      </w:r>
    </w:p>
    <w:p w14:paraId="5AC599AF" w14:textId="4676ED90" w:rsidR="005D253D" w:rsidRDefault="002146FF" w:rsidP="00CE5640">
      <w:pPr>
        <w:pStyle w:val="ListParagraph"/>
        <w:numPr>
          <w:ilvl w:val="0"/>
          <w:numId w:val="6"/>
        </w:numPr>
        <w:spacing w:before="120" w:after="240" w:line="240" w:lineRule="auto"/>
        <w:ind w:left="360"/>
        <w:jc w:val="both"/>
      </w:pPr>
      <w:r>
        <w:t xml:space="preserve">First step is to </w:t>
      </w:r>
      <w:r w:rsidR="005D253D">
        <w:t xml:space="preserve">contact </w:t>
      </w:r>
      <w:r w:rsidR="00620F42">
        <w:t xml:space="preserve">the </w:t>
      </w:r>
      <w:r w:rsidR="00C63648">
        <w:t>E</w:t>
      </w:r>
      <w:r w:rsidR="00620F42">
        <w:t xml:space="preserve">xecutive </w:t>
      </w:r>
      <w:r w:rsidR="00C63648">
        <w:t>D</w:t>
      </w:r>
      <w:r w:rsidR="00620F42">
        <w:t>irector</w:t>
      </w:r>
      <w:r w:rsidR="00C63648">
        <w:t xml:space="preserve"> of </w:t>
      </w:r>
      <w:r w:rsidR="00620F42">
        <w:t xml:space="preserve">the </w:t>
      </w:r>
      <w:r w:rsidR="005D253D">
        <w:t>F</w:t>
      </w:r>
      <w:r w:rsidR="00620F42">
        <w:t xml:space="preserve">ertiliser </w:t>
      </w:r>
      <w:r w:rsidR="005D253D">
        <w:t>Q</w:t>
      </w:r>
      <w:r w:rsidR="00620F42">
        <w:t xml:space="preserve">uality </w:t>
      </w:r>
      <w:r w:rsidR="005D253D">
        <w:t>C</w:t>
      </w:r>
      <w:r w:rsidR="00620F42">
        <w:t>ouncil.</w:t>
      </w:r>
    </w:p>
    <w:p w14:paraId="04140DEF" w14:textId="77777777" w:rsidR="00620F42" w:rsidRDefault="00620F42" w:rsidP="00620F42">
      <w:pPr>
        <w:pStyle w:val="ListParagraph"/>
        <w:spacing w:before="120" w:after="240" w:line="240" w:lineRule="auto"/>
        <w:ind w:left="360"/>
        <w:jc w:val="both"/>
      </w:pPr>
    </w:p>
    <w:p w14:paraId="5FE6AB0D" w14:textId="106736B6" w:rsidR="00195575" w:rsidRPr="009E628F" w:rsidRDefault="00195575" w:rsidP="005D253D">
      <w:pPr>
        <w:pStyle w:val="ListParagraph"/>
        <w:numPr>
          <w:ilvl w:val="0"/>
          <w:numId w:val="6"/>
        </w:numPr>
        <w:spacing w:before="120" w:after="240" w:line="240" w:lineRule="auto"/>
        <w:ind w:left="360"/>
        <w:jc w:val="both"/>
      </w:pPr>
      <w:r w:rsidRPr="009E628F">
        <w:t xml:space="preserve">When a Spreadmark registered company acquires another spreading company and separate company identities are maintained for both companies, the companies must have separate Spreadmark </w:t>
      </w:r>
      <w:r w:rsidR="004914E5">
        <w:t>certification</w:t>
      </w:r>
      <w:r w:rsidRPr="009E628F">
        <w:t>s.</w:t>
      </w:r>
    </w:p>
    <w:p w14:paraId="2F3D03FD" w14:textId="77777777" w:rsidR="00195575" w:rsidRPr="009E628F" w:rsidRDefault="00195575" w:rsidP="005D253D">
      <w:pPr>
        <w:pStyle w:val="ListParagraph"/>
        <w:spacing w:before="120" w:after="240" w:line="240" w:lineRule="auto"/>
        <w:ind w:left="360"/>
        <w:jc w:val="both"/>
      </w:pPr>
    </w:p>
    <w:p w14:paraId="0AC87875" w14:textId="7E207CF8" w:rsidR="00C916B5" w:rsidRDefault="00195575" w:rsidP="00C916B5">
      <w:pPr>
        <w:pStyle w:val="ListParagraph"/>
        <w:numPr>
          <w:ilvl w:val="0"/>
          <w:numId w:val="6"/>
        </w:numPr>
        <w:spacing w:before="120" w:after="240" w:line="240" w:lineRule="auto"/>
        <w:ind w:left="360"/>
        <w:jc w:val="both"/>
      </w:pPr>
      <w:r w:rsidRPr="009E628F">
        <w:t xml:space="preserve">When a Spreadmark registered company acquires another spreading company and the acquired company disappears from view and is managed by the acquiring company, then the companies can merge their Spreadmark </w:t>
      </w:r>
      <w:r w:rsidR="004914E5">
        <w:t>certification</w:t>
      </w:r>
      <w:r w:rsidRPr="009E628F">
        <w:t>s.</w:t>
      </w:r>
    </w:p>
    <w:p w14:paraId="6BF8B90F" w14:textId="77777777" w:rsidR="00F326D2" w:rsidRPr="00620F42" w:rsidRDefault="00F326D2" w:rsidP="00F326D2">
      <w:pPr>
        <w:spacing w:before="120" w:after="240" w:line="240" w:lineRule="auto"/>
        <w:jc w:val="both"/>
      </w:pPr>
    </w:p>
    <w:p w14:paraId="32971E12" w14:textId="452C5DC3" w:rsidR="007A38E8" w:rsidRPr="007A38E8" w:rsidRDefault="00195575" w:rsidP="00B35A0D">
      <w:pPr>
        <w:rPr>
          <w:b/>
        </w:rPr>
      </w:pPr>
      <w:bookmarkStart w:id="13" w:name="Complaints"/>
      <w:r w:rsidRPr="00005C37">
        <w:rPr>
          <w:b/>
        </w:rPr>
        <w:t>SPREADMARK PROCEDURE FOR COMPLAINTS</w:t>
      </w:r>
      <w:bookmarkEnd w:id="13"/>
    </w:p>
    <w:p w14:paraId="5EA9D18D" w14:textId="77777777" w:rsidR="00195575" w:rsidRPr="009E628F" w:rsidRDefault="00195575" w:rsidP="00195575">
      <w:pPr>
        <w:spacing w:before="120" w:after="240" w:line="240" w:lineRule="auto"/>
        <w:jc w:val="both"/>
        <w:rPr>
          <w:b/>
        </w:rPr>
      </w:pPr>
      <w:r w:rsidRPr="009E628F">
        <w:rPr>
          <w:b/>
        </w:rPr>
        <w:t>Scope</w:t>
      </w:r>
    </w:p>
    <w:p w14:paraId="2FF0DBA9" w14:textId="77777777" w:rsidR="007A38E8" w:rsidRPr="007A38E8" w:rsidRDefault="007A38E8" w:rsidP="007F4E65">
      <w:pPr>
        <w:spacing w:before="120" w:after="240" w:line="240" w:lineRule="auto"/>
        <w:jc w:val="both"/>
        <w:rPr>
          <w:rFonts w:ascii="Times New Roman" w:eastAsia="Times New Roman" w:hAnsi="Times New Roman" w:cs="Times New Roman"/>
          <w:sz w:val="24"/>
          <w:szCs w:val="24"/>
        </w:rPr>
      </w:pPr>
      <w:r w:rsidRPr="007A38E8">
        <w:rPr>
          <w:rFonts w:eastAsia="Times New Roman"/>
          <w:color w:val="000000"/>
        </w:rPr>
        <w:t>This is the procedure for the making and resolving of complaints laid by one Spreadmark registered company against another in respect to an alleged breach of any Spreadmark rule.  </w:t>
      </w:r>
    </w:p>
    <w:p w14:paraId="4627B69D" w14:textId="77777777" w:rsidR="007A38E8" w:rsidRPr="007A38E8" w:rsidRDefault="007A38E8" w:rsidP="007F4E65">
      <w:pPr>
        <w:spacing w:before="120" w:after="240" w:line="240" w:lineRule="auto"/>
        <w:jc w:val="both"/>
        <w:rPr>
          <w:rFonts w:ascii="Times New Roman" w:eastAsia="Times New Roman" w:hAnsi="Times New Roman" w:cs="Times New Roman"/>
          <w:sz w:val="24"/>
          <w:szCs w:val="24"/>
        </w:rPr>
      </w:pPr>
      <w:r w:rsidRPr="007A38E8">
        <w:rPr>
          <w:rFonts w:eastAsia="Times New Roman"/>
          <w:color w:val="000000"/>
        </w:rPr>
        <w:t>It is also the procedure for farmers or growers or nutrient companies who wish to use the Spreadmark Scheme as a means of complaining about poor practice.</w:t>
      </w:r>
    </w:p>
    <w:p w14:paraId="7121296F" w14:textId="53CD82C0" w:rsidR="00FE3C1C" w:rsidRPr="00FE3C1C" w:rsidRDefault="00195575" w:rsidP="00FE3C1C">
      <w:pPr>
        <w:spacing w:before="120" w:after="240"/>
        <w:jc w:val="both"/>
        <w:rPr>
          <w:b/>
        </w:rPr>
      </w:pPr>
      <w:r w:rsidRPr="00FB7258">
        <w:rPr>
          <w:b/>
        </w:rPr>
        <w:t>Complaints procedure where the complainant is a Spreadmark registered spreading company or a Fertmark registered company</w:t>
      </w:r>
      <w:r>
        <w:rPr>
          <w:b/>
        </w:rPr>
        <w:t>.</w:t>
      </w:r>
      <w:r w:rsidRPr="00FB7258">
        <w:rPr>
          <w:b/>
        </w:rPr>
        <w:t xml:space="preserve"> </w:t>
      </w:r>
    </w:p>
    <w:p w14:paraId="0D5724D0" w14:textId="16FA356E" w:rsidR="00B33EA1" w:rsidRPr="00420522" w:rsidRDefault="00B35A0D" w:rsidP="00FD7F2D">
      <w:pPr>
        <w:spacing w:before="120" w:after="240" w:line="240" w:lineRule="auto"/>
        <w:ind w:left="567" w:hanging="851"/>
        <w:jc w:val="both"/>
        <w:rPr>
          <w:rFonts w:ascii="Times New Roman" w:eastAsia="Times New Roman" w:hAnsi="Times New Roman" w:cs="Times New Roman"/>
          <w:sz w:val="24"/>
          <w:szCs w:val="24"/>
        </w:rPr>
      </w:pPr>
      <w:r w:rsidRPr="007A38E8">
        <w:rPr>
          <w:rFonts w:eastAsia="Times New Roman"/>
          <w:color w:val="000000"/>
        </w:rPr>
        <w:t>1.</w:t>
      </w:r>
      <w:r w:rsidRPr="007A38E8">
        <w:rPr>
          <w:rFonts w:eastAsia="Times New Roman"/>
          <w:color w:val="000000"/>
        </w:rPr>
        <w:tab/>
      </w:r>
      <w:r w:rsidR="00B33EA1" w:rsidRPr="00420522">
        <w:rPr>
          <w:rFonts w:eastAsia="Times New Roman"/>
          <w:color w:val="000000"/>
        </w:rPr>
        <w:t xml:space="preserve">Before making a formal approach to the Fertiliser Quality Executive Committee (“the Executive Committee") it is expected that the complainant member will have </w:t>
      </w:r>
      <w:r w:rsidR="00A93EA9" w:rsidRPr="00420522">
        <w:rPr>
          <w:rFonts w:eastAsia="Times New Roman"/>
          <w:color w:val="000000"/>
        </w:rPr>
        <w:t>contacted</w:t>
      </w:r>
      <w:r w:rsidR="00B33EA1" w:rsidRPr="00420522">
        <w:rPr>
          <w:rFonts w:eastAsia="Times New Roman"/>
          <w:color w:val="000000"/>
        </w:rPr>
        <w:t xml:space="preserve"> the company complained against, in an effort to resolve the matter. The complainant company must notify the Executive Director of such action at the time the approach is made. If the Executive Director considers that it may be useful to facilitate a speedy resolution to a potential complaint the Executive Director may alert the Spreadmark Auditor or the Executive Committee or an Expert Panel to the potential for a complaint developing or may convene either group for advice. </w:t>
      </w:r>
    </w:p>
    <w:p w14:paraId="632BFD60" w14:textId="0E718A00" w:rsidR="00B33EA1" w:rsidRPr="007A38E8" w:rsidRDefault="00B33EA1" w:rsidP="00FD7F2D">
      <w:pPr>
        <w:spacing w:before="120" w:after="240" w:line="240" w:lineRule="auto"/>
        <w:ind w:left="567"/>
        <w:jc w:val="both"/>
        <w:rPr>
          <w:rFonts w:ascii="Times New Roman" w:eastAsia="Times New Roman" w:hAnsi="Times New Roman" w:cs="Times New Roman"/>
          <w:sz w:val="24"/>
          <w:szCs w:val="24"/>
        </w:rPr>
      </w:pPr>
      <w:r w:rsidRPr="007A38E8">
        <w:rPr>
          <w:rFonts w:eastAsia="Times New Roman"/>
          <w:color w:val="000000"/>
        </w:rPr>
        <w:t xml:space="preserve">If the two companies resolve the issue the Executive Director must be informed so that there can be verification that the conditions agreed to </w:t>
      </w:r>
      <w:r w:rsidR="00F326D2">
        <w:rPr>
          <w:rFonts w:eastAsia="Times New Roman"/>
          <w:color w:val="000000"/>
        </w:rPr>
        <w:t>comply</w:t>
      </w:r>
      <w:r w:rsidRPr="007A38E8">
        <w:rPr>
          <w:rFonts w:eastAsia="Times New Roman"/>
          <w:color w:val="000000"/>
        </w:rPr>
        <w:t xml:space="preserve"> with Spreadmark policy.</w:t>
      </w:r>
    </w:p>
    <w:p w14:paraId="077C714E" w14:textId="26E789C6" w:rsidR="00FE3C1C" w:rsidRPr="007A38E8" w:rsidRDefault="00B33EA1" w:rsidP="00B35A0D">
      <w:pPr>
        <w:spacing w:before="120" w:after="240" w:line="240" w:lineRule="auto"/>
        <w:ind w:left="567" w:hanging="851"/>
        <w:jc w:val="both"/>
        <w:rPr>
          <w:rFonts w:eastAsia="Times New Roman"/>
          <w:color w:val="000000"/>
        </w:rPr>
      </w:pPr>
      <w:r w:rsidRPr="007A38E8">
        <w:rPr>
          <w:rFonts w:eastAsia="Times New Roman"/>
          <w:color w:val="000000"/>
        </w:rPr>
        <w:lastRenderedPageBreak/>
        <w:t>2.</w:t>
      </w:r>
      <w:r w:rsidRPr="007A38E8">
        <w:rPr>
          <w:rFonts w:eastAsia="Times New Roman"/>
          <w:color w:val="000000"/>
        </w:rPr>
        <w:tab/>
        <w:t>When placing a complaint before the Executive Director, the written submission from the complainant should define the clauses of the Spreadmark Rules considered to be breached, and advise measures taken to resolve the matter with the defendant company.</w:t>
      </w:r>
    </w:p>
    <w:p w14:paraId="1E2FD6A4" w14:textId="77777777" w:rsidR="00B33EA1" w:rsidRPr="007A38E8" w:rsidRDefault="00B33EA1" w:rsidP="00B35A0D">
      <w:pPr>
        <w:spacing w:before="120" w:after="240" w:line="240" w:lineRule="auto"/>
        <w:ind w:left="567" w:hanging="851"/>
        <w:jc w:val="both"/>
        <w:rPr>
          <w:rFonts w:ascii="Times New Roman" w:eastAsia="Times New Roman" w:hAnsi="Times New Roman" w:cs="Times New Roman"/>
          <w:sz w:val="24"/>
          <w:szCs w:val="24"/>
        </w:rPr>
      </w:pPr>
      <w:r w:rsidRPr="007A38E8">
        <w:rPr>
          <w:rFonts w:eastAsia="Times New Roman"/>
          <w:color w:val="000000"/>
        </w:rPr>
        <w:t>3.</w:t>
      </w:r>
      <w:r w:rsidRPr="007A38E8">
        <w:rPr>
          <w:rFonts w:eastAsia="Times New Roman"/>
          <w:color w:val="000000"/>
        </w:rPr>
        <w:tab/>
        <w:t>On receipt of the complaint, the Executive Director (or their nominee) will seek to arrange a mediation meeting of the parties in an endeavour to reach a resolution within a period of no more than 20 working days.</w:t>
      </w:r>
    </w:p>
    <w:p w14:paraId="2C4A06C7" w14:textId="77777777" w:rsidR="00B33EA1" w:rsidRPr="007A38E8" w:rsidRDefault="00B33EA1" w:rsidP="00B35A0D">
      <w:pPr>
        <w:spacing w:before="120" w:after="240" w:line="240" w:lineRule="auto"/>
        <w:ind w:left="567" w:hanging="851"/>
        <w:jc w:val="both"/>
        <w:rPr>
          <w:rFonts w:ascii="Times New Roman" w:eastAsia="Times New Roman" w:hAnsi="Times New Roman" w:cs="Times New Roman"/>
          <w:sz w:val="24"/>
          <w:szCs w:val="24"/>
        </w:rPr>
      </w:pPr>
      <w:r w:rsidRPr="007A38E8">
        <w:rPr>
          <w:rFonts w:eastAsia="Times New Roman"/>
          <w:color w:val="000000"/>
        </w:rPr>
        <w:t>4.</w:t>
      </w:r>
      <w:r w:rsidRPr="007A38E8">
        <w:rPr>
          <w:rFonts w:eastAsia="Times New Roman"/>
          <w:color w:val="000000"/>
        </w:rPr>
        <w:tab/>
        <w:t>If the mediation meeting called by the Executive Director is declined or fails to settle the complaint, the Executive Director (or their nominee) may present the case for resolution to the Executive Committee in accordance with the Spreadmark Disciplinary Procedures and within 10 working days of the mediation failing.</w:t>
      </w:r>
    </w:p>
    <w:p w14:paraId="2EF2D8C9" w14:textId="77777777" w:rsidR="00B33EA1" w:rsidRPr="007A38E8" w:rsidRDefault="00B33EA1" w:rsidP="00B35A0D">
      <w:pPr>
        <w:spacing w:before="120" w:after="240" w:line="240" w:lineRule="auto"/>
        <w:ind w:left="567" w:hanging="851"/>
        <w:jc w:val="both"/>
        <w:rPr>
          <w:rFonts w:ascii="Times New Roman" w:eastAsia="Times New Roman" w:hAnsi="Times New Roman" w:cs="Times New Roman"/>
          <w:sz w:val="24"/>
          <w:szCs w:val="24"/>
        </w:rPr>
      </w:pPr>
      <w:r w:rsidRPr="007A38E8">
        <w:rPr>
          <w:rFonts w:eastAsia="Times New Roman"/>
          <w:color w:val="000000"/>
        </w:rPr>
        <w:t>5.</w:t>
      </w:r>
      <w:r w:rsidRPr="007A38E8">
        <w:rPr>
          <w:rFonts w:eastAsia="Times New Roman"/>
          <w:color w:val="000000"/>
        </w:rPr>
        <w:tab/>
        <w:t>Any costs incurred in this Complaints Procedure will lie where they fall.</w:t>
      </w:r>
    </w:p>
    <w:p w14:paraId="1FB3C26F" w14:textId="77777777" w:rsidR="00195575" w:rsidRDefault="00195575" w:rsidP="00B35A0D">
      <w:pPr>
        <w:spacing w:before="120" w:after="240"/>
        <w:ind w:left="567"/>
        <w:jc w:val="both"/>
        <w:rPr>
          <w:b/>
          <w:caps/>
        </w:rPr>
      </w:pPr>
    </w:p>
    <w:p w14:paraId="4E36F065" w14:textId="77777777" w:rsidR="00195575" w:rsidRPr="00FB7258" w:rsidRDefault="00195575" w:rsidP="00B35A0D">
      <w:pPr>
        <w:spacing w:before="120" w:after="240"/>
        <w:ind w:left="567"/>
        <w:jc w:val="both"/>
        <w:rPr>
          <w:b/>
        </w:rPr>
      </w:pPr>
      <w:r w:rsidRPr="00FB7258">
        <w:rPr>
          <w:b/>
        </w:rPr>
        <w:t xml:space="preserve">Complaints procedure for farmers and growers against a Spreadmark registered company </w:t>
      </w:r>
    </w:p>
    <w:p w14:paraId="6827933E" w14:textId="77777777" w:rsidR="00FE3C1C" w:rsidRPr="007A38E8" w:rsidRDefault="00FE3C1C" w:rsidP="00C138C0">
      <w:pPr>
        <w:spacing w:before="120" w:after="240" w:line="240" w:lineRule="auto"/>
        <w:ind w:left="567" w:hanging="851"/>
        <w:jc w:val="both"/>
        <w:rPr>
          <w:rFonts w:ascii="Times New Roman" w:eastAsia="Times New Roman" w:hAnsi="Times New Roman" w:cs="Times New Roman"/>
          <w:sz w:val="24"/>
          <w:szCs w:val="24"/>
        </w:rPr>
      </w:pPr>
      <w:r w:rsidRPr="007A38E8">
        <w:rPr>
          <w:rFonts w:eastAsia="Times New Roman"/>
          <w:color w:val="000000"/>
        </w:rPr>
        <w:t>1.</w:t>
      </w:r>
      <w:r w:rsidRPr="007A38E8">
        <w:rPr>
          <w:rFonts w:eastAsia="Times New Roman"/>
          <w:color w:val="000000"/>
        </w:rPr>
        <w:tab/>
        <w:t>Before making a formal approach to the Fertiliser Quality Council Executive Committee (“The Executive Committee”) it is expected that the complainant will have made contact with the company being complained against, in an effort to resolve the matter.</w:t>
      </w:r>
    </w:p>
    <w:p w14:paraId="5148A4FD" w14:textId="77777777" w:rsidR="00FE3C1C" w:rsidRPr="007A38E8" w:rsidRDefault="00FE3C1C" w:rsidP="00C138C0">
      <w:pPr>
        <w:spacing w:before="120" w:after="240" w:line="240" w:lineRule="auto"/>
        <w:ind w:left="567" w:hanging="851"/>
        <w:jc w:val="both"/>
        <w:rPr>
          <w:rFonts w:ascii="Times New Roman" w:eastAsia="Times New Roman" w:hAnsi="Times New Roman" w:cs="Times New Roman"/>
          <w:sz w:val="24"/>
          <w:szCs w:val="24"/>
        </w:rPr>
      </w:pPr>
      <w:r w:rsidRPr="007A38E8">
        <w:rPr>
          <w:rFonts w:eastAsia="Times New Roman"/>
          <w:color w:val="000000"/>
        </w:rPr>
        <w:t>2.</w:t>
      </w:r>
      <w:r w:rsidRPr="007A38E8">
        <w:rPr>
          <w:rFonts w:eastAsia="Times New Roman"/>
          <w:color w:val="000000"/>
        </w:rPr>
        <w:tab/>
        <w:t>To be considered, complaints by farmers or growers must be in writing and should advise measures taken to resolve the matter with the defendant company.</w:t>
      </w:r>
    </w:p>
    <w:p w14:paraId="6AEE543A" w14:textId="77777777" w:rsidR="00FE3C1C" w:rsidRPr="007A38E8" w:rsidRDefault="00FE3C1C" w:rsidP="00C138C0">
      <w:pPr>
        <w:spacing w:before="120" w:after="240" w:line="240" w:lineRule="auto"/>
        <w:ind w:left="567" w:hanging="851"/>
        <w:jc w:val="both"/>
        <w:rPr>
          <w:rFonts w:ascii="Times New Roman" w:eastAsia="Times New Roman" w:hAnsi="Times New Roman" w:cs="Times New Roman"/>
          <w:sz w:val="24"/>
          <w:szCs w:val="24"/>
        </w:rPr>
      </w:pPr>
      <w:r w:rsidRPr="007A38E8">
        <w:rPr>
          <w:rFonts w:eastAsia="Times New Roman"/>
          <w:color w:val="000000"/>
        </w:rPr>
        <w:t>3.</w:t>
      </w:r>
      <w:r w:rsidRPr="007A38E8">
        <w:rPr>
          <w:rFonts w:eastAsia="Times New Roman"/>
          <w:color w:val="000000"/>
        </w:rPr>
        <w:tab/>
        <w:t>On receipt of the complaint, the Executive Director (or their nominee) will seek to arrange a mediation meeting of the parties in an endeavour to reach a resolution within a period of no more than 20 working days.</w:t>
      </w:r>
    </w:p>
    <w:p w14:paraId="54221880" w14:textId="77777777" w:rsidR="00FE3C1C" w:rsidRPr="007A38E8" w:rsidRDefault="00FE3C1C" w:rsidP="00C138C0">
      <w:pPr>
        <w:spacing w:before="120" w:after="240" w:line="240" w:lineRule="auto"/>
        <w:ind w:left="567" w:hanging="851"/>
        <w:jc w:val="both"/>
        <w:rPr>
          <w:rFonts w:ascii="Times New Roman" w:eastAsia="Times New Roman" w:hAnsi="Times New Roman" w:cs="Times New Roman"/>
          <w:sz w:val="24"/>
          <w:szCs w:val="24"/>
        </w:rPr>
      </w:pPr>
      <w:r w:rsidRPr="007A38E8">
        <w:rPr>
          <w:rFonts w:eastAsia="Times New Roman"/>
          <w:color w:val="000000"/>
        </w:rPr>
        <w:t>4.</w:t>
      </w:r>
      <w:r w:rsidRPr="007A38E8">
        <w:rPr>
          <w:rFonts w:eastAsia="Times New Roman"/>
          <w:color w:val="000000"/>
        </w:rPr>
        <w:tab/>
        <w:t>If the mediation meeting called by the Executive Director is declined or fails to settle the complaint, the Executive Director (or their nominee) may present the case for resolution to the Executive Committee in accordance with the Spreadmark Disciplinary Procedures.  The Executive Director may also choose to seek independent advice as to the likely validity of any complaint.</w:t>
      </w:r>
    </w:p>
    <w:p w14:paraId="3B12C1D7" w14:textId="77777777" w:rsidR="00FE3C1C" w:rsidRPr="007A38E8" w:rsidRDefault="00FE3C1C" w:rsidP="00C138C0">
      <w:pPr>
        <w:spacing w:before="120" w:after="240" w:line="240" w:lineRule="auto"/>
        <w:ind w:left="567" w:hanging="851"/>
        <w:jc w:val="both"/>
        <w:rPr>
          <w:rFonts w:ascii="Times New Roman" w:eastAsia="Times New Roman" w:hAnsi="Times New Roman" w:cs="Times New Roman"/>
          <w:sz w:val="24"/>
          <w:szCs w:val="24"/>
        </w:rPr>
      </w:pPr>
      <w:r w:rsidRPr="007A38E8">
        <w:rPr>
          <w:rFonts w:eastAsia="Times New Roman"/>
          <w:color w:val="000000"/>
        </w:rPr>
        <w:t>5.</w:t>
      </w:r>
      <w:r w:rsidRPr="007A38E8">
        <w:rPr>
          <w:rFonts w:eastAsia="Times New Roman"/>
          <w:color w:val="000000"/>
        </w:rPr>
        <w:tab/>
        <w:t>Any costs incurred in this Complaints Procedure will lie where they fall.  Before costs are incurred by the Expert Committee or the Auditor it will have been decided who is paying them.</w:t>
      </w:r>
    </w:p>
    <w:p w14:paraId="641D6593" w14:textId="203BC0FF" w:rsidR="00195575" w:rsidRPr="009E628F" w:rsidRDefault="00195575" w:rsidP="00FE3C1C">
      <w:pPr>
        <w:spacing w:before="120" w:after="240"/>
        <w:jc w:val="both"/>
      </w:pPr>
      <w:r w:rsidRPr="009E628F">
        <w:tab/>
        <w:t xml:space="preserve"> </w:t>
      </w:r>
    </w:p>
    <w:p w14:paraId="4DC76674" w14:textId="0FB4625E" w:rsidR="00195575" w:rsidRPr="00555740" w:rsidRDefault="00195575" w:rsidP="00195575">
      <w:pPr>
        <w:rPr>
          <w:b/>
        </w:rPr>
      </w:pPr>
      <w:bookmarkStart w:id="14" w:name="Discipline"/>
      <w:r w:rsidRPr="00555740">
        <w:rPr>
          <w:b/>
          <w:caps/>
        </w:rPr>
        <w:t>Spreadmark disciplinary and de</w:t>
      </w:r>
      <w:r w:rsidR="004914E5">
        <w:rPr>
          <w:b/>
          <w:caps/>
        </w:rPr>
        <w:t>certif</w:t>
      </w:r>
      <w:r w:rsidR="004B7A70">
        <w:rPr>
          <w:b/>
          <w:caps/>
        </w:rPr>
        <w:t>ic</w:t>
      </w:r>
      <w:r w:rsidRPr="00555740">
        <w:rPr>
          <w:b/>
          <w:caps/>
        </w:rPr>
        <w:t>ation procedure</w:t>
      </w:r>
    </w:p>
    <w:bookmarkEnd w:id="14"/>
    <w:p w14:paraId="75B251C5" w14:textId="77777777" w:rsidR="00195575" w:rsidRPr="009E628F" w:rsidRDefault="00195575" w:rsidP="00195575">
      <w:pPr>
        <w:spacing w:before="120" w:after="240"/>
        <w:ind w:left="851" w:hanging="851"/>
        <w:jc w:val="both"/>
        <w:rPr>
          <w:b/>
        </w:rPr>
      </w:pPr>
      <w:r w:rsidRPr="009E628F">
        <w:rPr>
          <w:b/>
        </w:rPr>
        <w:t>Scope</w:t>
      </w:r>
    </w:p>
    <w:p w14:paraId="54F7E668" w14:textId="77777777" w:rsidR="00195575" w:rsidRPr="009E628F" w:rsidRDefault="00195575" w:rsidP="00195575">
      <w:pPr>
        <w:spacing w:before="120" w:after="120"/>
        <w:jc w:val="both"/>
      </w:pPr>
      <w:r w:rsidRPr="009E628F">
        <w:t xml:space="preserve">This is the procedure for the proper resolution of issues which may lead to sanctions being applied to a Spreadmark registered company. </w:t>
      </w:r>
    </w:p>
    <w:p w14:paraId="454EF6BA" w14:textId="0F5283A8" w:rsidR="00195575" w:rsidRPr="009E628F" w:rsidRDefault="00195575" w:rsidP="00402250">
      <w:pPr>
        <w:pStyle w:val="ListParagraph"/>
        <w:numPr>
          <w:ilvl w:val="0"/>
          <w:numId w:val="30"/>
        </w:numPr>
        <w:spacing w:before="120" w:after="240"/>
        <w:ind w:left="357" w:hanging="357"/>
        <w:contextualSpacing w:val="0"/>
        <w:jc w:val="both"/>
      </w:pPr>
      <w:r w:rsidRPr="009E628F">
        <w:t xml:space="preserve">The sanctions that the Fertiliser Quality Council Executive Committee (the Executive Committee) may apply to members for serious breaches of the Spreadmark Rules are public statements and expulsion. These sanctions can be applied where there are clear and serious breaches of the </w:t>
      </w:r>
      <w:r w:rsidRPr="009E628F">
        <w:lastRenderedPageBreak/>
        <w:t xml:space="preserve">Spreadmark Rules which are sufficient to damage the integrity of Spreadmark or which may mislead </w:t>
      </w:r>
      <w:r w:rsidR="00E07ACD">
        <w:t>nutrient</w:t>
      </w:r>
      <w:r w:rsidRPr="009E628F">
        <w:t xml:space="preserve"> users.</w:t>
      </w:r>
    </w:p>
    <w:p w14:paraId="1417DD9C" w14:textId="2886E2D7" w:rsidR="00402250" w:rsidRPr="009E628F" w:rsidRDefault="00195575" w:rsidP="00402250">
      <w:pPr>
        <w:pStyle w:val="ListParagraph"/>
        <w:numPr>
          <w:ilvl w:val="0"/>
          <w:numId w:val="30"/>
        </w:numPr>
        <w:spacing w:before="120" w:after="240"/>
        <w:ind w:left="357" w:hanging="357"/>
        <w:contextualSpacing w:val="0"/>
        <w:jc w:val="both"/>
      </w:pPr>
      <w:r w:rsidRPr="009E628F">
        <w:t>Where in the opinion of the Executive Director, there is clear and serious breach of the Rules, the Executive Director may convene a meeting of the Executive Committee and advise the relevant company that this action has been taken. The Executive Director may commission an investigation by the Auditor.</w:t>
      </w:r>
    </w:p>
    <w:p w14:paraId="456B03C6" w14:textId="79607E36" w:rsidR="00195575" w:rsidRPr="009E628F" w:rsidRDefault="00195575" w:rsidP="00402250">
      <w:pPr>
        <w:pStyle w:val="ListParagraph"/>
        <w:numPr>
          <w:ilvl w:val="0"/>
          <w:numId w:val="30"/>
        </w:numPr>
        <w:spacing w:before="120" w:after="240"/>
        <w:ind w:left="357" w:hanging="357"/>
        <w:contextualSpacing w:val="0"/>
        <w:jc w:val="both"/>
      </w:pPr>
      <w:r w:rsidRPr="009E628F">
        <w:t xml:space="preserve">The Executive Committee will consider such written material as is supplied and will decide on an appropriate course of action. The meeting may be held by a physical meeting or by teleconference and shall be held within 10 working days of the Executive Director deciding there is a clear and serious breach. </w:t>
      </w:r>
    </w:p>
    <w:p w14:paraId="357C950E" w14:textId="5872E73E" w:rsidR="00195575" w:rsidRPr="009E628F" w:rsidRDefault="00195575" w:rsidP="00402250">
      <w:pPr>
        <w:pStyle w:val="ListParagraph"/>
        <w:numPr>
          <w:ilvl w:val="0"/>
          <w:numId w:val="30"/>
        </w:numPr>
        <w:spacing w:before="120" w:after="240"/>
        <w:ind w:left="357" w:hanging="357"/>
        <w:contextualSpacing w:val="0"/>
        <w:jc w:val="both"/>
      </w:pPr>
      <w:r w:rsidRPr="009E628F">
        <w:t xml:space="preserve">If the Executive Committee considers that there are matters of a technical nature to be resolved, these may be referred to an Expert Group for an opinion. Where this occurs, the Convenor of the Expert Group shall be one of the members of the Executive Committee who have been co-opted onto the Committee for their technical expertise. The Expert Group shall report to the Executive Committee within 20 working days of the matter being referred to it. </w:t>
      </w:r>
    </w:p>
    <w:p w14:paraId="076EFC07" w14:textId="01238348" w:rsidR="00195575" w:rsidRPr="009E628F" w:rsidRDefault="00195575" w:rsidP="00402250">
      <w:pPr>
        <w:pStyle w:val="ListParagraph"/>
        <w:numPr>
          <w:ilvl w:val="0"/>
          <w:numId w:val="30"/>
        </w:numPr>
        <w:spacing w:before="120" w:after="240"/>
        <w:ind w:left="357" w:hanging="357"/>
        <w:contextualSpacing w:val="0"/>
        <w:jc w:val="both"/>
      </w:pPr>
      <w:r w:rsidRPr="009E628F">
        <w:t xml:space="preserve">When the Executive Committee has reached a decision the affected parties will be advised.  </w:t>
      </w:r>
    </w:p>
    <w:p w14:paraId="47C74606" w14:textId="25934F3D" w:rsidR="00195575" w:rsidRPr="009E628F" w:rsidRDefault="00195575" w:rsidP="00402250">
      <w:pPr>
        <w:pStyle w:val="ListParagraph"/>
        <w:numPr>
          <w:ilvl w:val="0"/>
          <w:numId w:val="30"/>
        </w:numPr>
        <w:spacing w:before="120" w:after="240"/>
        <w:ind w:left="357" w:hanging="357"/>
        <w:contextualSpacing w:val="0"/>
        <w:jc w:val="both"/>
      </w:pPr>
      <w:r w:rsidRPr="009E628F">
        <w:t>If the Executive Committee proposes to make a public statement the Defendant member shall be advised in writing by registered mail and by fax of the proposed publicity and be given at least five working days to respond. The five days will be from the date of receipt of the registered letter which will be deemed to be two working days after its dispatch. The response will be considered by the Executive Committee before it issues its public statement</w:t>
      </w:r>
      <w:r w:rsidR="00560597">
        <w:t>.</w:t>
      </w:r>
    </w:p>
    <w:p w14:paraId="42D637D6" w14:textId="450933B5" w:rsidR="00195575" w:rsidRPr="009E628F" w:rsidRDefault="00195575" w:rsidP="00402250">
      <w:pPr>
        <w:pStyle w:val="ListParagraph"/>
        <w:numPr>
          <w:ilvl w:val="0"/>
          <w:numId w:val="30"/>
        </w:numPr>
        <w:spacing w:before="120" w:after="240"/>
        <w:ind w:left="357" w:hanging="357"/>
        <w:contextualSpacing w:val="0"/>
        <w:jc w:val="both"/>
      </w:pPr>
      <w:r w:rsidRPr="009E628F">
        <w:t xml:space="preserve">If either of the Parties are unwilling to accept the decision of the Executive Committee made under clause 5, they may appeal that decision to a sole arbitrator.  </w:t>
      </w:r>
    </w:p>
    <w:p w14:paraId="47D7CB59" w14:textId="69EF651D" w:rsidR="00B34E65" w:rsidRDefault="00195575" w:rsidP="00402250">
      <w:pPr>
        <w:pStyle w:val="ListParagraph"/>
        <w:numPr>
          <w:ilvl w:val="0"/>
          <w:numId w:val="30"/>
        </w:numPr>
        <w:spacing w:before="120" w:after="240"/>
        <w:ind w:left="357" w:hanging="357"/>
        <w:contextualSpacing w:val="0"/>
        <w:jc w:val="both"/>
      </w:pPr>
      <w:r w:rsidRPr="009E628F">
        <w:t xml:space="preserve">The appeal will take place pursuant to the Arbitration Act 1996, save that clauses 4 (determination of preliminary point of law) and 5 (appeals on questions of law) of Schedule 2 shall not apply.  The place of arbitration shall be Wellington, New Zealand.  The jurisdiction of the sole arbitrator will be limited to questions of law and procedural fairness.  The sole arbitrator may, in its discretion, vary, revoke or remit a decision of the Executive Committee only in the event (and to the extent) that the sole arbitrator concludes that the Executive Committee has made an error of law or has acted in a procedurally unfair manner. </w:t>
      </w:r>
    </w:p>
    <w:p w14:paraId="6E689926" w14:textId="1A6F541A" w:rsidR="00B34E65" w:rsidRDefault="00195575" w:rsidP="00402250">
      <w:pPr>
        <w:pStyle w:val="ListParagraph"/>
        <w:numPr>
          <w:ilvl w:val="0"/>
          <w:numId w:val="30"/>
        </w:numPr>
        <w:spacing w:before="120" w:after="240"/>
        <w:ind w:left="357" w:hanging="357"/>
        <w:contextualSpacing w:val="0"/>
        <w:jc w:val="both"/>
      </w:pPr>
      <w:r w:rsidRPr="009E628F">
        <w:t>Any appeal must be lodged by the appellant serving a notice of appeal on the other Party and the Fertiliser Quality Council (naming both entities as respondents to the appeal), within fourteen (14) days of the date on which the decision appealed against was communicated to the appellant.  The notice of appeal must specify the grounds of the appeal in sufficient detail to identify the issues raised by the appeal.</w:t>
      </w:r>
    </w:p>
    <w:p w14:paraId="26586778" w14:textId="77777777" w:rsidR="00402250" w:rsidRDefault="00195575" w:rsidP="00402250">
      <w:pPr>
        <w:pStyle w:val="ListParagraph"/>
        <w:numPr>
          <w:ilvl w:val="0"/>
          <w:numId w:val="30"/>
        </w:numPr>
        <w:spacing w:before="120" w:after="240"/>
        <w:ind w:left="357" w:hanging="357"/>
        <w:contextualSpacing w:val="0"/>
        <w:jc w:val="both"/>
      </w:pPr>
      <w:r w:rsidRPr="009E628F">
        <w:t xml:space="preserve">Within seven (7) further days, the other Party and the Fertiliser Quality Council must each indicate whether they intend to oppose the appeal, in which case they must do so by serving on the </w:t>
      </w:r>
      <w:r w:rsidRPr="009E628F">
        <w:lastRenderedPageBreak/>
        <w:t xml:space="preserve">appellant and the other Party or the Fertiliser Quality Council (as the case may be) a notice of opposition to the notice of appeal.   </w:t>
      </w:r>
    </w:p>
    <w:p w14:paraId="2B83CD9D" w14:textId="77777777" w:rsidR="00402250" w:rsidRDefault="00195575" w:rsidP="00402250">
      <w:pPr>
        <w:pStyle w:val="ListParagraph"/>
        <w:numPr>
          <w:ilvl w:val="0"/>
          <w:numId w:val="30"/>
        </w:numPr>
        <w:spacing w:before="120" w:after="240"/>
        <w:ind w:left="357" w:hanging="357"/>
        <w:contextualSpacing w:val="0"/>
        <w:jc w:val="both"/>
      </w:pPr>
      <w:r w:rsidRPr="009E628F">
        <w:t>The appellant and (provided they have filed a notice of opposition) the other Party and the Fertiliser Quality Council shall endeavour to jointly agree upon the identity of a sole arbitrator.  If they cannot jointly agree within seven (7) days following the service of the notice of opposition, any party to the appeal may request the President of the Arbitrators’ and Mediators’ Association of New Zealand to appoint the sole arbitrator.</w:t>
      </w:r>
    </w:p>
    <w:p w14:paraId="3B1811E8" w14:textId="77777777" w:rsidR="00402250" w:rsidRDefault="00195575" w:rsidP="00402250">
      <w:pPr>
        <w:pStyle w:val="ListParagraph"/>
        <w:numPr>
          <w:ilvl w:val="0"/>
          <w:numId w:val="30"/>
        </w:numPr>
        <w:spacing w:before="120" w:after="240"/>
        <w:ind w:left="357" w:hanging="357"/>
        <w:contextualSpacing w:val="0"/>
        <w:jc w:val="both"/>
      </w:pPr>
      <w:r w:rsidRPr="009E628F">
        <w:t>Within fourteen (14) days following the service of the notice of appeal, the Fertiliser Quality Council must make available to all Fertmark registered companies [and members of the Fertiliser Quality Council] a copy of the notice of appeal and, if applicable, a copy of any notices of opposition to the appeal.</w:t>
      </w:r>
    </w:p>
    <w:p w14:paraId="552796C4" w14:textId="77777777" w:rsidR="00402250" w:rsidRDefault="00195575" w:rsidP="00402250">
      <w:pPr>
        <w:pStyle w:val="ListParagraph"/>
        <w:numPr>
          <w:ilvl w:val="0"/>
          <w:numId w:val="30"/>
        </w:numPr>
        <w:spacing w:before="120" w:after="240"/>
        <w:ind w:left="357" w:hanging="357"/>
        <w:contextualSpacing w:val="0"/>
        <w:jc w:val="both"/>
      </w:pPr>
      <w:r w:rsidRPr="009E628F">
        <w:t>Within seven (7) further working days, any Fertmark registered company [or member of the Fertiliser Quality Council] which considers itself affected may elect to join the appeal as a third party by serving on the parties to the appeal a notice of third party joinder.  Any such notice must specify that entity’s interest in the issues raised by the appeal and the position of the entity in respect of those issues.  All Fertmark registered companies [and members of the Fertiliser Quality Council] agree and accept that a third party shall have no right to appoint the sole arbitrator.  The nature and extent of a third party’s participation in the arbitration proceedings shall be determined by the agreement of all parties to the appeal or, failing this, by the sole arbitrator.</w:t>
      </w:r>
    </w:p>
    <w:p w14:paraId="534D1EB5" w14:textId="77777777" w:rsidR="00402250" w:rsidRDefault="00195575" w:rsidP="00402250">
      <w:pPr>
        <w:pStyle w:val="ListParagraph"/>
        <w:numPr>
          <w:ilvl w:val="0"/>
          <w:numId w:val="30"/>
        </w:numPr>
        <w:spacing w:before="120" w:after="240"/>
        <w:ind w:left="357" w:hanging="357"/>
        <w:contextualSpacing w:val="0"/>
        <w:jc w:val="both"/>
      </w:pPr>
      <w:r w:rsidRPr="009E628F">
        <w:t>To the extent practicable, the appeal shall proceed expeditiously with the objective of the sole arbitrator producing a short written and reasoned decision within four (4) months of the date of the notice of appeal.</w:t>
      </w:r>
    </w:p>
    <w:p w14:paraId="6991F24F" w14:textId="77777777" w:rsidR="00402250" w:rsidRDefault="00195575" w:rsidP="00402250">
      <w:pPr>
        <w:pStyle w:val="ListParagraph"/>
        <w:numPr>
          <w:ilvl w:val="0"/>
          <w:numId w:val="30"/>
        </w:numPr>
        <w:spacing w:before="120" w:after="240"/>
        <w:ind w:left="357" w:hanging="357"/>
        <w:contextualSpacing w:val="0"/>
        <w:jc w:val="both"/>
      </w:pPr>
      <w:r w:rsidRPr="009E628F">
        <w:t>The decision of the sole arbitrator shall be final and no party (including any third party) shall challenge, or seek appeal or review of, such decision, save under article 34 of Schedule 1 of the Arbitration Act 1996.</w:t>
      </w:r>
    </w:p>
    <w:p w14:paraId="73C2B799" w14:textId="71872B38" w:rsidR="00195575" w:rsidRPr="009E628F" w:rsidRDefault="00195575" w:rsidP="00402250">
      <w:pPr>
        <w:pStyle w:val="ListParagraph"/>
        <w:numPr>
          <w:ilvl w:val="0"/>
          <w:numId w:val="30"/>
        </w:numPr>
        <w:spacing w:before="120" w:after="240"/>
        <w:ind w:left="357" w:hanging="357"/>
        <w:contextualSpacing w:val="0"/>
        <w:jc w:val="both"/>
      </w:pPr>
      <w:r w:rsidRPr="009E628F">
        <w:t xml:space="preserve">Any costs incurred in this Disciplinary Procedure will lie where they fall.  </w:t>
      </w:r>
    </w:p>
    <w:p w14:paraId="2D71C379" w14:textId="162E66D9" w:rsidR="00195575" w:rsidRPr="00751486" w:rsidRDefault="00195575" w:rsidP="00751486">
      <w:pPr>
        <w:spacing w:before="120" w:after="240"/>
        <w:jc w:val="both"/>
        <w:rPr>
          <w:b/>
        </w:rPr>
      </w:pPr>
      <w:r w:rsidRPr="00327F9B">
        <w:rPr>
          <w:b/>
        </w:rPr>
        <w:t>De</w:t>
      </w:r>
      <w:r w:rsidR="004B7A70">
        <w:rPr>
          <w:b/>
        </w:rPr>
        <w:t>certification</w:t>
      </w:r>
    </w:p>
    <w:p w14:paraId="4C937A45" w14:textId="0D2C5D3D" w:rsidR="002B7287" w:rsidRPr="00F730FF" w:rsidRDefault="002B7287" w:rsidP="002B7287">
      <w:pPr>
        <w:rPr>
          <w:rFonts w:asciiTheme="minorHAnsi" w:eastAsia="Arial" w:hAnsiTheme="minorHAnsi" w:cstheme="minorHAnsi"/>
        </w:rPr>
      </w:pPr>
      <w:r w:rsidRPr="00F730FF">
        <w:rPr>
          <w:rFonts w:asciiTheme="minorHAnsi" w:eastAsia="Arial" w:hAnsiTheme="minorHAnsi" w:cstheme="minorHAnsi"/>
        </w:rPr>
        <w:t xml:space="preserve">The Spreadmark </w:t>
      </w:r>
      <w:r w:rsidR="004B7A70">
        <w:rPr>
          <w:rFonts w:asciiTheme="minorHAnsi" w:eastAsia="Arial" w:hAnsiTheme="minorHAnsi" w:cstheme="minorHAnsi"/>
        </w:rPr>
        <w:t>certification</w:t>
      </w:r>
      <w:r w:rsidRPr="00F730FF">
        <w:rPr>
          <w:rFonts w:asciiTheme="minorHAnsi" w:eastAsia="Arial" w:hAnsiTheme="minorHAnsi" w:cstheme="minorHAnsi"/>
        </w:rPr>
        <w:t xml:space="preserve"> of a nutrient spreading company may be withdrawn or not renewed when any of the conditions outlined below are met:</w:t>
      </w:r>
    </w:p>
    <w:p w14:paraId="50C68D9F" w14:textId="7906448B" w:rsidR="002B7287" w:rsidRPr="00F730FF" w:rsidRDefault="002B7287" w:rsidP="00F730FF">
      <w:pPr>
        <w:pStyle w:val="ListParagraph"/>
        <w:numPr>
          <w:ilvl w:val="0"/>
          <w:numId w:val="28"/>
        </w:numPr>
        <w:spacing w:after="0"/>
        <w:rPr>
          <w:rFonts w:asciiTheme="minorHAnsi" w:eastAsia="Arial" w:hAnsiTheme="minorHAnsi" w:cstheme="minorHAnsi"/>
        </w:rPr>
      </w:pPr>
      <w:r w:rsidRPr="00F730FF">
        <w:rPr>
          <w:rFonts w:asciiTheme="minorHAnsi" w:eastAsia="Arial" w:hAnsiTheme="minorHAnsi" w:cstheme="minorHAnsi"/>
        </w:rPr>
        <w:t xml:space="preserve">A recommendation to do so is received from the </w:t>
      </w:r>
      <w:r w:rsidR="003372DF">
        <w:rPr>
          <w:rFonts w:asciiTheme="minorHAnsi" w:eastAsia="Arial" w:hAnsiTheme="minorHAnsi" w:cstheme="minorHAnsi"/>
        </w:rPr>
        <w:t>Fertiliser</w:t>
      </w:r>
      <w:r w:rsidRPr="00F730FF">
        <w:rPr>
          <w:rFonts w:asciiTheme="minorHAnsi" w:eastAsia="Arial" w:hAnsiTheme="minorHAnsi" w:cstheme="minorHAnsi"/>
        </w:rPr>
        <w:t xml:space="preserve"> Quality </w:t>
      </w:r>
      <w:r w:rsidR="00872E6A">
        <w:rPr>
          <w:rFonts w:asciiTheme="minorHAnsi" w:eastAsia="Arial" w:hAnsiTheme="minorHAnsi" w:cstheme="minorHAnsi"/>
        </w:rPr>
        <w:t xml:space="preserve">Council </w:t>
      </w:r>
      <w:r w:rsidRPr="00F730FF">
        <w:rPr>
          <w:rFonts w:asciiTheme="minorHAnsi" w:eastAsia="Arial" w:hAnsiTheme="minorHAnsi" w:cstheme="minorHAnsi"/>
        </w:rPr>
        <w:t>Executive Committee, or</w:t>
      </w:r>
    </w:p>
    <w:p w14:paraId="06D6AB49" w14:textId="71DCDB5D" w:rsidR="002B7287" w:rsidRPr="006C5AB7" w:rsidRDefault="002B7287" w:rsidP="006C5AB7">
      <w:pPr>
        <w:pStyle w:val="ListParagraph"/>
        <w:numPr>
          <w:ilvl w:val="0"/>
          <w:numId w:val="28"/>
        </w:numPr>
        <w:spacing w:after="0"/>
        <w:rPr>
          <w:rFonts w:asciiTheme="minorHAnsi" w:eastAsia="Arial" w:hAnsiTheme="minorHAnsi" w:cstheme="minorHAnsi"/>
        </w:rPr>
      </w:pPr>
      <w:r w:rsidRPr="00F730FF">
        <w:rPr>
          <w:rFonts w:asciiTheme="minorHAnsi" w:eastAsia="Arial" w:hAnsiTheme="minorHAnsi" w:cstheme="minorHAnsi"/>
        </w:rPr>
        <w:t xml:space="preserve">The nutrient spreading company operating systems do not meet the </w:t>
      </w:r>
      <w:r w:rsidRPr="006C5AB7">
        <w:rPr>
          <w:rFonts w:asciiTheme="minorHAnsi" w:eastAsia="Arial" w:hAnsiTheme="minorHAnsi" w:cstheme="minorHAnsi"/>
        </w:rPr>
        <w:t>Spreadmark System Standard as determined by the Spreadmark Auditor and the breach has not been remedied within the specified time</w:t>
      </w:r>
      <w:r w:rsidR="00FD1ABD" w:rsidRPr="006C5AB7">
        <w:rPr>
          <w:rFonts w:asciiTheme="minorHAnsi" w:eastAsia="Arial" w:hAnsiTheme="minorHAnsi" w:cstheme="minorHAnsi"/>
        </w:rPr>
        <w:t>.</w:t>
      </w:r>
    </w:p>
    <w:p w14:paraId="74962EF7" w14:textId="77777777" w:rsidR="006B286C" w:rsidRDefault="006B286C" w:rsidP="00195575">
      <w:pPr>
        <w:spacing w:before="120" w:after="240"/>
        <w:ind w:left="851" w:hanging="851"/>
        <w:jc w:val="both"/>
      </w:pPr>
    </w:p>
    <w:p w14:paraId="1DD43A26" w14:textId="77777777" w:rsidR="00C04050" w:rsidRPr="00F444C6" w:rsidRDefault="00C04050" w:rsidP="00C04050">
      <w:pPr>
        <w:jc w:val="both"/>
        <w:rPr>
          <w:b/>
          <w:bCs/>
        </w:rPr>
      </w:pPr>
      <w:bookmarkStart w:id="15" w:name="Legislation"/>
      <w:bookmarkStart w:id="16" w:name="Testers"/>
      <w:bookmarkStart w:id="17" w:name="Transitional"/>
      <w:bookmarkEnd w:id="15"/>
      <w:bookmarkEnd w:id="16"/>
      <w:bookmarkEnd w:id="17"/>
      <w:r w:rsidRPr="005A1651">
        <w:rPr>
          <w:b/>
          <w:bCs/>
          <w:highlight w:val="yellow"/>
        </w:rPr>
        <w:t>TRANSITIONAL ARRANGEMENTS</w:t>
      </w:r>
    </w:p>
    <w:p w14:paraId="75EA927C" w14:textId="4FF2A35B" w:rsidR="006378A1" w:rsidRPr="00F444C6" w:rsidRDefault="00810D69">
      <w:pPr>
        <w:rPr>
          <w:b/>
          <w:bCs/>
        </w:rPr>
      </w:pPr>
      <w:r w:rsidRPr="00F444C6">
        <w:rPr>
          <w:b/>
          <w:bCs/>
        </w:rPr>
        <w:lastRenderedPageBreak/>
        <w:t>For</w:t>
      </w:r>
      <w:r w:rsidR="00B77BD0" w:rsidRPr="00F444C6">
        <w:rPr>
          <w:b/>
          <w:bCs/>
        </w:rPr>
        <w:t xml:space="preserve"> ground spreaders</w:t>
      </w:r>
      <w:r w:rsidR="00762DE1">
        <w:rPr>
          <w:b/>
          <w:bCs/>
        </w:rPr>
        <w:t xml:space="preserve">, responsibility </w:t>
      </w:r>
      <w:r w:rsidR="000C4966">
        <w:rPr>
          <w:b/>
          <w:bCs/>
        </w:rPr>
        <w:t>for</w:t>
      </w:r>
      <w:r w:rsidR="00A96F7B" w:rsidRPr="00F444C6">
        <w:rPr>
          <w:b/>
          <w:bCs/>
        </w:rPr>
        <w:t>:</w:t>
      </w:r>
    </w:p>
    <w:p w14:paraId="6E87911F" w14:textId="5D63F083" w:rsidR="00345575" w:rsidRDefault="005B1180" w:rsidP="00C3677D">
      <w:pPr>
        <w:pStyle w:val="ListParagraph"/>
        <w:numPr>
          <w:ilvl w:val="0"/>
          <w:numId w:val="37"/>
        </w:numPr>
      </w:pPr>
      <w:r>
        <w:t xml:space="preserve">Maintaining a system that records </w:t>
      </w:r>
      <w:r w:rsidR="00A83AF6">
        <w:t>delegation of responsibility</w:t>
      </w:r>
      <w:r w:rsidR="00345575">
        <w:t>.</w:t>
      </w:r>
    </w:p>
    <w:p w14:paraId="6361F247" w14:textId="6AF25473" w:rsidR="00345575" w:rsidRDefault="007E29D7" w:rsidP="00C3677D">
      <w:pPr>
        <w:pStyle w:val="ListParagraph"/>
        <w:numPr>
          <w:ilvl w:val="0"/>
          <w:numId w:val="37"/>
        </w:numPr>
      </w:pPr>
      <w:r>
        <w:t>Requiring operators to provide electronic proof of</w:t>
      </w:r>
      <w:r w:rsidR="007B2312">
        <w:t xml:space="preserve"> placement via GPS tracking</w:t>
      </w:r>
      <w:r w:rsidR="00970423">
        <w:t>.</w:t>
      </w:r>
    </w:p>
    <w:p w14:paraId="0D0463F3" w14:textId="0128AB75" w:rsidR="00A033C2" w:rsidRDefault="00A033C2" w:rsidP="00C3677D">
      <w:pPr>
        <w:pStyle w:val="ListParagraph"/>
        <w:numPr>
          <w:ilvl w:val="0"/>
          <w:numId w:val="37"/>
        </w:numPr>
      </w:pPr>
      <w:r>
        <w:t>Identifying environmental risks</w:t>
      </w:r>
      <w:r w:rsidR="00970423">
        <w:t>.</w:t>
      </w:r>
    </w:p>
    <w:p w14:paraId="6599F568" w14:textId="3B8839EB" w:rsidR="00970423" w:rsidRDefault="00970423" w:rsidP="00C3677D">
      <w:pPr>
        <w:pStyle w:val="ListParagraph"/>
        <w:numPr>
          <w:ilvl w:val="0"/>
          <w:numId w:val="37"/>
        </w:numPr>
      </w:pPr>
      <w:r>
        <w:t xml:space="preserve">Measuring or estimating </w:t>
      </w:r>
      <w:r w:rsidR="00E52797">
        <w:t>wind speed and direction.</w:t>
      </w:r>
    </w:p>
    <w:p w14:paraId="7BEF8803" w14:textId="0F5342BB" w:rsidR="00C35203" w:rsidRDefault="00E52797" w:rsidP="00813744">
      <w:pPr>
        <w:pStyle w:val="ListParagraph"/>
        <w:numPr>
          <w:ilvl w:val="0"/>
          <w:numId w:val="37"/>
        </w:numPr>
      </w:pPr>
      <w:r>
        <w:t>Documenting location of buffer zones</w:t>
      </w:r>
      <w:r w:rsidR="00C3677D">
        <w:t>.</w:t>
      </w:r>
    </w:p>
    <w:p w14:paraId="4EF455D8" w14:textId="6B00D2ED" w:rsidR="00664BC0" w:rsidRPr="00021A38" w:rsidRDefault="00021A38" w:rsidP="00664BC0">
      <w:pPr>
        <w:rPr>
          <w:b/>
          <w:bCs/>
        </w:rPr>
      </w:pPr>
      <w:r w:rsidRPr="00021A38">
        <w:rPr>
          <w:b/>
          <w:bCs/>
        </w:rPr>
        <w:t>For nutrient suppliers</w:t>
      </w:r>
      <w:r w:rsidR="000C4966">
        <w:rPr>
          <w:b/>
          <w:bCs/>
        </w:rPr>
        <w:t>, responsibility for</w:t>
      </w:r>
      <w:r w:rsidRPr="00021A38">
        <w:rPr>
          <w:b/>
          <w:bCs/>
        </w:rPr>
        <w:t>:</w:t>
      </w:r>
    </w:p>
    <w:p w14:paraId="122BAE43" w14:textId="7EAABAB9" w:rsidR="001A2451" w:rsidRDefault="001A2451" w:rsidP="001A2451">
      <w:pPr>
        <w:pStyle w:val="ListParagraph"/>
        <w:numPr>
          <w:ilvl w:val="0"/>
          <w:numId w:val="37"/>
        </w:numPr>
      </w:pPr>
      <w:r>
        <w:t>Recipe of all components in a mix and the ratio or percentage of inclusion. Where appropriate, this shall include a Safety Data Sheet</w:t>
      </w:r>
    </w:p>
    <w:p w14:paraId="30C8FF65" w14:textId="3B2FD6B3" w:rsidR="001A2451" w:rsidRDefault="001A2451" w:rsidP="001A2451">
      <w:pPr>
        <w:pStyle w:val="ListParagraph"/>
        <w:numPr>
          <w:ilvl w:val="0"/>
          <w:numId w:val="37"/>
        </w:numPr>
      </w:pPr>
      <w:r>
        <w:t>Nutrient compatibility;</w:t>
      </w:r>
    </w:p>
    <w:p w14:paraId="29FA869E" w14:textId="40E3B96A" w:rsidR="001A2451" w:rsidRDefault="001A2451" w:rsidP="001A2451">
      <w:pPr>
        <w:pStyle w:val="ListParagraph"/>
        <w:numPr>
          <w:ilvl w:val="0"/>
          <w:numId w:val="37"/>
        </w:numPr>
      </w:pPr>
      <w:r>
        <w:t>Identify</w:t>
      </w:r>
      <w:r w:rsidR="00263243">
        <w:t>ing</w:t>
      </w:r>
      <w:r>
        <w:t xml:space="preserve"> product precautions, storage life and any special requirements;</w:t>
      </w:r>
    </w:p>
    <w:p w14:paraId="04851C21" w14:textId="073AE2A3" w:rsidR="00021A38" w:rsidRDefault="001A2451" w:rsidP="001A2451">
      <w:pPr>
        <w:pStyle w:val="ListParagraph"/>
        <w:numPr>
          <w:ilvl w:val="0"/>
          <w:numId w:val="37"/>
        </w:numPr>
      </w:pPr>
      <w:r>
        <w:t>Ensur</w:t>
      </w:r>
      <w:r w:rsidR="00263243">
        <w:t>ing</w:t>
      </w:r>
      <w:r>
        <w:t xml:space="preserve"> all the above are clearly communicated to the operator or nutrient owner.</w:t>
      </w:r>
    </w:p>
    <w:p w14:paraId="7D02E903" w14:textId="29702147" w:rsidR="00810D69" w:rsidRDefault="00810D69" w:rsidP="00810D69">
      <w:r w:rsidRPr="00F444C6">
        <w:rPr>
          <w:b/>
          <w:bCs/>
        </w:rPr>
        <w:t>For aerial spreaders</w:t>
      </w:r>
      <w:r w:rsidR="000C4966">
        <w:rPr>
          <w:b/>
          <w:bCs/>
        </w:rPr>
        <w:t>, responsibility for</w:t>
      </w:r>
      <w:r>
        <w:t>:</w:t>
      </w:r>
    </w:p>
    <w:p w14:paraId="4BD6B623" w14:textId="5C849EA6" w:rsidR="00810D69" w:rsidRDefault="004512BF" w:rsidP="00810D69">
      <w:pPr>
        <w:pStyle w:val="ListParagraph"/>
        <w:numPr>
          <w:ilvl w:val="0"/>
          <w:numId w:val="37"/>
        </w:numPr>
      </w:pPr>
      <w:r>
        <w:t xml:space="preserve">Including the maximum spread width achieved </w:t>
      </w:r>
      <w:r w:rsidR="00204F58">
        <w:t>on the Aerial Pattern Test Certificate (if required)</w:t>
      </w:r>
      <w:r w:rsidR="00806069">
        <w:t>;</w:t>
      </w:r>
    </w:p>
    <w:p w14:paraId="6BF99348" w14:textId="6098E84B" w:rsidR="00AD160C" w:rsidRDefault="00AD160C" w:rsidP="00810D69">
      <w:pPr>
        <w:pStyle w:val="ListParagraph"/>
        <w:numPr>
          <w:ilvl w:val="0"/>
          <w:numId w:val="37"/>
        </w:numPr>
      </w:pPr>
      <w:r>
        <w:t>Normal operating speed over collectors during test conditions</w:t>
      </w:r>
      <w:r w:rsidR="00806069">
        <w:t>;</w:t>
      </w:r>
    </w:p>
    <w:p w14:paraId="5B77EF8D" w14:textId="0FB6CD67" w:rsidR="00F36CF2" w:rsidRPr="00806069" w:rsidRDefault="00806069" w:rsidP="00806069">
      <w:pPr>
        <w:pStyle w:val="ListParagraph"/>
        <w:numPr>
          <w:ilvl w:val="0"/>
          <w:numId w:val="37"/>
        </w:numPr>
      </w:pPr>
      <w:r>
        <w:t>Height above ground level during test conditions between 100 and 120 feet.</w:t>
      </w:r>
      <w:bookmarkStart w:id="18" w:name="Appendix"/>
      <w:bookmarkEnd w:id="18"/>
    </w:p>
    <w:sectPr w:rsidR="00F36CF2" w:rsidRPr="00806069" w:rsidSect="001013DA">
      <w:footerReference w:type="default" r:id="rId3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F3BD6" w14:textId="77777777" w:rsidR="001013DA" w:rsidRDefault="001013DA" w:rsidP="00BD32BF">
      <w:pPr>
        <w:spacing w:after="0" w:line="240" w:lineRule="auto"/>
      </w:pPr>
      <w:r>
        <w:separator/>
      </w:r>
    </w:p>
  </w:endnote>
  <w:endnote w:type="continuationSeparator" w:id="0">
    <w:p w14:paraId="57CFE540" w14:textId="77777777" w:rsidR="001013DA" w:rsidRDefault="001013DA" w:rsidP="00BD3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112102"/>
      <w:docPartObj>
        <w:docPartGallery w:val="Page Numbers (Bottom of Page)"/>
        <w:docPartUnique/>
      </w:docPartObj>
    </w:sdtPr>
    <w:sdtEndPr>
      <w:rPr>
        <w:noProof/>
      </w:rPr>
    </w:sdtEndPr>
    <w:sdtContent>
      <w:p w14:paraId="133E314A" w14:textId="49B0ACEE" w:rsidR="00C423B0" w:rsidRDefault="00C423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F5541" w14:textId="03DFFBF7" w:rsidR="00BD32BF" w:rsidRDefault="0068145C" w:rsidP="001C771D">
    <w:pPr>
      <w:pStyle w:val="Footer"/>
      <w:jc w:val="center"/>
    </w:pPr>
    <w:r>
      <w:t>Procedures, Protocols, Policies and Codes of the Spreadmark Code of Practice</w:t>
    </w:r>
  </w:p>
  <w:p w14:paraId="414094E7" w14:textId="1CB1982A" w:rsidR="001C771D" w:rsidRDefault="001921A5" w:rsidP="001C771D">
    <w:pPr>
      <w:pStyle w:val="Footer"/>
      <w:jc w:val="center"/>
    </w:pPr>
    <w:r>
      <w:t>Final Draft</w:t>
    </w:r>
    <w:r w:rsidR="00975B83">
      <w:t xml:space="preserve"> </w:t>
    </w:r>
    <w:r w:rsidR="001C771D">
      <w:t>March 2</w:t>
    </w:r>
    <w:r w:rsidR="00CE297B">
      <w:t>6</w:t>
    </w:r>
    <w:r w:rsidR="001C771D">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17D0B" w14:textId="77777777" w:rsidR="001013DA" w:rsidRDefault="001013DA" w:rsidP="00BD32BF">
      <w:pPr>
        <w:spacing w:after="0" w:line="240" w:lineRule="auto"/>
      </w:pPr>
      <w:r>
        <w:separator/>
      </w:r>
    </w:p>
  </w:footnote>
  <w:footnote w:type="continuationSeparator" w:id="0">
    <w:p w14:paraId="33F8A8D4" w14:textId="77777777" w:rsidR="001013DA" w:rsidRDefault="001013DA" w:rsidP="00BD3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374"/>
    <w:multiLevelType w:val="hybridMultilevel"/>
    <w:tmpl w:val="F06ADC60"/>
    <w:lvl w:ilvl="0" w:tplc="14090005">
      <w:start w:val="1"/>
      <w:numFmt w:val="bullet"/>
      <w:lvlText w:val=""/>
      <w:lvlJc w:val="left"/>
      <w:pPr>
        <w:ind w:left="2286" w:hanging="855"/>
      </w:pPr>
      <w:rPr>
        <w:rFonts w:ascii="Wingdings" w:hAnsi="Wingdings" w:hint="default"/>
      </w:rPr>
    </w:lvl>
    <w:lvl w:ilvl="1" w:tplc="14090003" w:tentative="1">
      <w:start w:val="1"/>
      <w:numFmt w:val="bullet"/>
      <w:lvlText w:val="o"/>
      <w:lvlJc w:val="left"/>
      <w:pPr>
        <w:ind w:left="2511" w:hanging="360"/>
      </w:pPr>
      <w:rPr>
        <w:rFonts w:ascii="Courier New" w:hAnsi="Courier New" w:cs="Courier New" w:hint="default"/>
      </w:rPr>
    </w:lvl>
    <w:lvl w:ilvl="2" w:tplc="14090005" w:tentative="1">
      <w:start w:val="1"/>
      <w:numFmt w:val="bullet"/>
      <w:lvlText w:val=""/>
      <w:lvlJc w:val="left"/>
      <w:pPr>
        <w:ind w:left="3231" w:hanging="360"/>
      </w:pPr>
      <w:rPr>
        <w:rFonts w:ascii="Wingdings" w:hAnsi="Wingdings" w:hint="default"/>
      </w:rPr>
    </w:lvl>
    <w:lvl w:ilvl="3" w:tplc="14090001" w:tentative="1">
      <w:start w:val="1"/>
      <w:numFmt w:val="bullet"/>
      <w:lvlText w:val=""/>
      <w:lvlJc w:val="left"/>
      <w:pPr>
        <w:ind w:left="3951" w:hanging="360"/>
      </w:pPr>
      <w:rPr>
        <w:rFonts w:ascii="Symbol" w:hAnsi="Symbol" w:hint="default"/>
      </w:rPr>
    </w:lvl>
    <w:lvl w:ilvl="4" w:tplc="14090003" w:tentative="1">
      <w:start w:val="1"/>
      <w:numFmt w:val="bullet"/>
      <w:lvlText w:val="o"/>
      <w:lvlJc w:val="left"/>
      <w:pPr>
        <w:ind w:left="4671" w:hanging="360"/>
      </w:pPr>
      <w:rPr>
        <w:rFonts w:ascii="Courier New" w:hAnsi="Courier New" w:cs="Courier New" w:hint="default"/>
      </w:rPr>
    </w:lvl>
    <w:lvl w:ilvl="5" w:tplc="14090005" w:tentative="1">
      <w:start w:val="1"/>
      <w:numFmt w:val="bullet"/>
      <w:lvlText w:val=""/>
      <w:lvlJc w:val="left"/>
      <w:pPr>
        <w:ind w:left="5391" w:hanging="360"/>
      </w:pPr>
      <w:rPr>
        <w:rFonts w:ascii="Wingdings" w:hAnsi="Wingdings" w:hint="default"/>
      </w:rPr>
    </w:lvl>
    <w:lvl w:ilvl="6" w:tplc="14090001" w:tentative="1">
      <w:start w:val="1"/>
      <w:numFmt w:val="bullet"/>
      <w:lvlText w:val=""/>
      <w:lvlJc w:val="left"/>
      <w:pPr>
        <w:ind w:left="6111" w:hanging="360"/>
      </w:pPr>
      <w:rPr>
        <w:rFonts w:ascii="Symbol" w:hAnsi="Symbol" w:hint="default"/>
      </w:rPr>
    </w:lvl>
    <w:lvl w:ilvl="7" w:tplc="14090003" w:tentative="1">
      <w:start w:val="1"/>
      <w:numFmt w:val="bullet"/>
      <w:lvlText w:val="o"/>
      <w:lvlJc w:val="left"/>
      <w:pPr>
        <w:ind w:left="6831" w:hanging="360"/>
      </w:pPr>
      <w:rPr>
        <w:rFonts w:ascii="Courier New" w:hAnsi="Courier New" w:cs="Courier New" w:hint="default"/>
      </w:rPr>
    </w:lvl>
    <w:lvl w:ilvl="8" w:tplc="14090005" w:tentative="1">
      <w:start w:val="1"/>
      <w:numFmt w:val="bullet"/>
      <w:lvlText w:val=""/>
      <w:lvlJc w:val="left"/>
      <w:pPr>
        <w:ind w:left="7551" w:hanging="360"/>
      </w:pPr>
      <w:rPr>
        <w:rFonts w:ascii="Wingdings" w:hAnsi="Wingdings" w:hint="default"/>
      </w:rPr>
    </w:lvl>
  </w:abstractNum>
  <w:abstractNum w:abstractNumId="1" w15:restartNumberingAfterBreak="0">
    <w:nsid w:val="0E627067"/>
    <w:multiLevelType w:val="hybridMultilevel"/>
    <w:tmpl w:val="BDB0B3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FA2398"/>
    <w:multiLevelType w:val="hybridMultilevel"/>
    <w:tmpl w:val="50F07E8E"/>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26B439D"/>
    <w:multiLevelType w:val="multilevel"/>
    <w:tmpl w:val="228A609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8C1C10"/>
    <w:multiLevelType w:val="multilevel"/>
    <w:tmpl w:val="AFD066DC"/>
    <w:lvl w:ilvl="0">
      <w:start w:val="1"/>
      <w:numFmt w:val="bullet"/>
      <w:lvlText w:val="▪"/>
      <w:lvlJc w:val="left"/>
      <w:pPr>
        <w:ind w:left="720" w:hanging="360"/>
      </w:pPr>
      <w:rPr>
        <w:rFonts w:ascii="Noto Sans Symbols" w:eastAsia="Noto Sans Symbols" w:hAnsi="Noto Sans Symbols" w:cs="Noto Sans Symbols"/>
      </w:rPr>
    </w:lvl>
    <w:lvl w:ilvl="1">
      <w:start w:val="3"/>
      <w:numFmt w:val="bullet"/>
      <w:lvlText w:val="●"/>
      <w:lvlJc w:val="left"/>
      <w:pPr>
        <w:ind w:left="1935" w:hanging="855"/>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717A3F"/>
    <w:multiLevelType w:val="hybridMultilevel"/>
    <w:tmpl w:val="10725414"/>
    <w:lvl w:ilvl="0" w:tplc="14090005">
      <w:start w:val="1"/>
      <w:numFmt w:val="bullet"/>
      <w:lvlText w:val=""/>
      <w:lvlJc w:val="left"/>
      <w:pPr>
        <w:ind w:left="720" w:hanging="360"/>
      </w:pPr>
      <w:rPr>
        <w:rFonts w:ascii="Wingdings" w:hAnsi="Wingdings"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943085"/>
    <w:multiLevelType w:val="multilevel"/>
    <w:tmpl w:val="31F00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9C77E2"/>
    <w:multiLevelType w:val="hybridMultilevel"/>
    <w:tmpl w:val="FA7E3DAE"/>
    <w:lvl w:ilvl="0" w:tplc="14090005">
      <w:start w:val="1"/>
      <w:numFmt w:val="bullet"/>
      <w:lvlText w:val=""/>
      <w:lvlJc w:val="left"/>
      <w:pPr>
        <w:ind w:left="1211" w:hanging="360"/>
      </w:pPr>
      <w:rPr>
        <w:rFonts w:ascii="Wingdings" w:hAnsi="Wingdings"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8" w15:restartNumberingAfterBreak="0">
    <w:nsid w:val="1D6D1BF4"/>
    <w:multiLevelType w:val="multilevel"/>
    <w:tmpl w:val="132AA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420C9C"/>
    <w:multiLevelType w:val="hybridMultilevel"/>
    <w:tmpl w:val="D3F85F2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1451412"/>
    <w:multiLevelType w:val="hybridMultilevel"/>
    <w:tmpl w:val="7760FE6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2507348F"/>
    <w:multiLevelType w:val="multilevel"/>
    <w:tmpl w:val="3DB83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3E0190"/>
    <w:multiLevelType w:val="hybridMultilevel"/>
    <w:tmpl w:val="87F4FD5C"/>
    <w:lvl w:ilvl="0" w:tplc="28604D30">
      <w:start w:val="1"/>
      <w:numFmt w:val="decimal"/>
      <w:lvlText w:val="%1."/>
      <w:lvlJc w:val="left"/>
      <w:pPr>
        <w:ind w:left="852" w:hanging="852"/>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2CC65DC2"/>
    <w:multiLevelType w:val="hybridMultilevel"/>
    <w:tmpl w:val="57B6481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D346205"/>
    <w:multiLevelType w:val="multilevel"/>
    <w:tmpl w:val="5E72D5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E22C80"/>
    <w:multiLevelType w:val="hybridMultilevel"/>
    <w:tmpl w:val="D61A3FD8"/>
    <w:lvl w:ilvl="0" w:tplc="14090005">
      <w:start w:val="1"/>
      <w:numFmt w:val="bullet"/>
      <w:lvlText w:val=""/>
      <w:lvlJc w:val="left"/>
      <w:pPr>
        <w:ind w:left="717" w:hanging="360"/>
      </w:pPr>
      <w:rPr>
        <w:rFonts w:ascii="Wingdings" w:hAnsi="Wingdings" w:hint="default"/>
      </w:rPr>
    </w:lvl>
    <w:lvl w:ilvl="1" w:tplc="14090005">
      <w:start w:val="1"/>
      <w:numFmt w:val="bullet"/>
      <w:lvlText w:val=""/>
      <w:lvlJc w:val="left"/>
      <w:pPr>
        <w:ind w:left="1437" w:hanging="360"/>
      </w:pPr>
      <w:rPr>
        <w:rFonts w:ascii="Wingdings" w:hAnsi="Wingdings"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16" w15:restartNumberingAfterBreak="0">
    <w:nsid w:val="380B2E3F"/>
    <w:multiLevelType w:val="hybridMultilevel"/>
    <w:tmpl w:val="05A03656"/>
    <w:lvl w:ilvl="0" w:tplc="14090005">
      <w:start w:val="1"/>
      <w:numFmt w:val="bullet"/>
      <w:lvlText w:val=""/>
      <w:lvlJc w:val="left"/>
      <w:pPr>
        <w:ind w:left="720" w:hanging="360"/>
      </w:pPr>
      <w:rPr>
        <w:rFonts w:ascii="Wingdings" w:hAnsi="Wingdings" w:hint="default"/>
      </w:rPr>
    </w:lvl>
    <w:lvl w:ilvl="1" w:tplc="CB9A6654">
      <w:start w:val="3"/>
      <w:numFmt w:val="bullet"/>
      <w:lvlText w:val=""/>
      <w:lvlJc w:val="left"/>
      <w:pPr>
        <w:ind w:left="1935" w:hanging="855"/>
      </w:pPr>
      <w:rPr>
        <w:rFonts w:ascii="Symbol" w:eastAsiaTheme="minorHAnsi" w:hAnsi="Symbo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B0F63FB"/>
    <w:multiLevelType w:val="hybridMultilevel"/>
    <w:tmpl w:val="CC2E82B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15111FE"/>
    <w:multiLevelType w:val="hybridMultilevel"/>
    <w:tmpl w:val="E7426FF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B38586B"/>
    <w:multiLevelType w:val="hybridMultilevel"/>
    <w:tmpl w:val="90A225E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CB508DB"/>
    <w:multiLevelType w:val="hybridMultilevel"/>
    <w:tmpl w:val="CAD60DD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DA613DF"/>
    <w:multiLevelType w:val="hybridMultilevel"/>
    <w:tmpl w:val="31D07FFC"/>
    <w:lvl w:ilvl="0" w:tplc="14090005">
      <w:start w:val="1"/>
      <w:numFmt w:val="bullet"/>
      <w:lvlText w:val=""/>
      <w:lvlJc w:val="left"/>
      <w:pPr>
        <w:ind w:left="717" w:hanging="360"/>
      </w:pPr>
      <w:rPr>
        <w:rFonts w:ascii="Wingdings" w:hAnsi="Wingdings" w:hint="default"/>
      </w:rPr>
    </w:lvl>
    <w:lvl w:ilvl="1" w:tplc="14090005">
      <w:start w:val="1"/>
      <w:numFmt w:val="bullet"/>
      <w:lvlText w:val=""/>
      <w:lvlJc w:val="left"/>
      <w:pPr>
        <w:ind w:left="1437" w:hanging="360"/>
      </w:pPr>
      <w:rPr>
        <w:rFonts w:ascii="Wingdings" w:hAnsi="Wingdings"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22" w15:restartNumberingAfterBreak="0">
    <w:nsid w:val="4F385965"/>
    <w:multiLevelType w:val="hybridMultilevel"/>
    <w:tmpl w:val="A7748E2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01D321F"/>
    <w:multiLevelType w:val="hybridMultilevel"/>
    <w:tmpl w:val="1C6E1E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8E75AC9"/>
    <w:multiLevelType w:val="hybridMultilevel"/>
    <w:tmpl w:val="53322CF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59136987"/>
    <w:multiLevelType w:val="hybridMultilevel"/>
    <w:tmpl w:val="4828A50C"/>
    <w:lvl w:ilvl="0" w:tplc="14090005">
      <w:start w:val="1"/>
      <w:numFmt w:val="bullet"/>
      <w:lvlText w:val=""/>
      <w:lvlJc w:val="left"/>
      <w:pPr>
        <w:ind w:left="1077" w:hanging="360"/>
      </w:pPr>
      <w:rPr>
        <w:rFonts w:ascii="Wingdings" w:hAnsi="Wingdings" w:hint="default"/>
      </w:rPr>
    </w:lvl>
    <w:lvl w:ilvl="1" w:tplc="14090005">
      <w:start w:val="1"/>
      <w:numFmt w:val="bullet"/>
      <w:lvlText w:val=""/>
      <w:lvlJc w:val="left"/>
      <w:pPr>
        <w:ind w:left="1797" w:hanging="360"/>
      </w:pPr>
      <w:rPr>
        <w:rFonts w:ascii="Wingdings" w:hAnsi="Wingdings" w:hint="default"/>
      </w:rPr>
    </w:lvl>
    <w:lvl w:ilvl="2" w:tplc="14090005">
      <w:start w:val="1"/>
      <w:numFmt w:val="bullet"/>
      <w:lvlText w:val=""/>
      <w:lvlJc w:val="left"/>
      <w:pPr>
        <w:ind w:left="2517" w:hanging="360"/>
      </w:pPr>
      <w:rPr>
        <w:rFonts w:ascii="Wingdings" w:hAnsi="Wingdings" w:hint="default"/>
      </w:rPr>
    </w:lvl>
    <w:lvl w:ilvl="3" w:tplc="1409000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6" w15:restartNumberingAfterBreak="0">
    <w:nsid w:val="5C341044"/>
    <w:multiLevelType w:val="hybridMultilevel"/>
    <w:tmpl w:val="15B28B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CB31394"/>
    <w:multiLevelType w:val="hybridMultilevel"/>
    <w:tmpl w:val="A6B632C4"/>
    <w:lvl w:ilvl="0" w:tplc="14090001">
      <w:start w:val="1"/>
      <w:numFmt w:val="bullet"/>
      <w:lvlText w:val=""/>
      <w:lvlJc w:val="left"/>
      <w:pPr>
        <w:ind w:left="717" w:hanging="360"/>
      </w:pPr>
      <w:rPr>
        <w:rFonts w:ascii="Symbol" w:hAnsi="Symbol" w:hint="default"/>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28" w15:restartNumberingAfterBreak="0">
    <w:nsid w:val="5F6F6AA4"/>
    <w:multiLevelType w:val="hybridMultilevel"/>
    <w:tmpl w:val="759C502A"/>
    <w:lvl w:ilvl="0" w:tplc="14090005">
      <w:start w:val="1"/>
      <w:numFmt w:val="bullet"/>
      <w:lvlText w:val=""/>
      <w:lvlJc w:val="left"/>
      <w:pPr>
        <w:ind w:left="720" w:hanging="360"/>
      </w:pPr>
      <w:rPr>
        <w:rFonts w:ascii="Wingdings" w:hAnsi="Wingdings"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FE52AE1"/>
    <w:multiLevelType w:val="multilevel"/>
    <w:tmpl w:val="568E0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6E3234"/>
    <w:multiLevelType w:val="hybridMultilevel"/>
    <w:tmpl w:val="90C66D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25E7151"/>
    <w:multiLevelType w:val="hybridMultilevel"/>
    <w:tmpl w:val="63F04A1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3B84C22"/>
    <w:multiLevelType w:val="hybridMultilevel"/>
    <w:tmpl w:val="24F2ABA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9484DFD"/>
    <w:multiLevelType w:val="hybridMultilevel"/>
    <w:tmpl w:val="991AF80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E783A27"/>
    <w:multiLevelType w:val="multilevel"/>
    <w:tmpl w:val="11E4D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8B14AC"/>
    <w:multiLevelType w:val="hybridMultilevel"/>
    <w:tmpl w:val="4470F27E"/>
    <w:lvl w:ilvl="0" w:tplc="5072ABBE">
      <w:start w:val="1"/>
      <w:numFmt w:val="decimal"/>
      <w:lvlText w:val="%1."/>
      <w:lvlJc w:val="left"/>
      <w:pPr>
        <w:ind w:left="360" w:hanging="360"/>
      </w:pPr>
      <w:rPr>
        <w:rFonts w:eastAsia="Arial" w:hint="default"/>
        <w:color w:val="000000"/>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15:restartNumberingAfterBreak="0">
    <w:nsid w:val="73095DFE"/>
    <w:multiLevelType w:val="hybridMultilevel"/>
    <w:tmpl w:val="413C0F22"/>
    <w:lvl w:ilvl="0" w:tplc="14090005">
      <w:start w:val="1"/>
      <w:numFmt w:val="bullet"/>
      <w:lvlText w:val=""/>
      <w:lvlJc w:val="left"/>
      <w:pPr>
        <w:ind w:left="720" w:hanging="360"/>
      </w:pPr>
      <w:rPr>
        <w:rFonts w:ascii="Wingdings" w:hAnsi="Wingdings"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60F7CDE"/>
    <w:multiLevelType w:val="hybridMultilevel"/>
    <w:tmpl w:val="514057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6804BF6"/>
    <w:multiLevelType w:val="hybridMultilevel"/>
    <w:tmpl w:val="C97C0F2E"/>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300699586">
    <w:abstractNumId w:val="8"/>
  </w:num>
  <w:num w:numId="2" w16cid:durableId="638997156">
    <w:abstractNumId w:val="0"/>
  </w:num>
  <w:num w:numId="3" w16cid:durableId="20860567">
    <w:abstractNumId w:val="16"/>
  </w:num>
  <w:num w:numId="4" w16cid:durableId="1514343804">
    <w:abstractNumId w:val="2"/>
  </w:num>
  <w:num w:numId="5" w16cid:durableId="624779150">
    <w:abstractNumId w:val="7"/>
  </w:num>
  <w:num w:numId="6" w16cid:durableId="1509951690">
    <w:abstractNumId w:val="31"/>
  </w:num>
  <w:num w:numId="7" w16cid:durableId="2106026391">
    <w:abstractNumId w:val="18"/>
  </w:num>
  <w:num w:numId="8" w16cid:durableId="772210948">
    <w:abstractNumId w:val="20"/>
  </w:num>
  <w:num w:numId="9" w16cid:durableId="1214274278">
    <w:abstractNumId w:val="22"/>
  </w:num>
  <w:num w:numId="10" w16cid:durableId="313530362">
    <w:abstractNumId w:val="19"/>
  </w:num>
  <w:num w:numId="11" w16cid:durableId="1000082996">
    <w:abstractNumId w:val="36"/>
  </w:num>
  <w:num w:numId="12" w16cid:durableId="1099064784">
    <w:abstractNumId w:val="28"/>
  </w:num>
  <w:num w:numId="13" w16cid:durableId="456148841">
    <w:abstractNumId w:val="23"/>
  </w:num>
  <w:num w:numId="14" w16cid:durableId="1721904053">
    <w:abstractNumId w:val="9"/>
  </w:num>
  <w:num w:numId="15" w16cid:durableId="934051106">
    <w:abstractNumId w:val="5"/>
  </w:num>
  <w:num w:numId="16" w16cid:durableId="650643550">
    <w:abstractNumId w:val="15"/>
  </w:num>
  <w:num w:numId="17" w16cid:durableId="1239514914">
    <w:abstractNumId w:val="21"/>
  </w:num>
  <w:num w:numId="18" w16cid:durableId="519122054">
    <w:abstractNumId w:val="25"/>
  </w:num>
  <w:num w:numId="19" w16cid:durableId="1140077239">
    <w:abstractNumId w:val="27"/>
  </w:num>
  <w:num w:numId="20" w16cid:durableId="462120247">
    <w:abstractNumId w:val="11"/>
  </w:num>
  <w:num w:numId="21" w16cid:durableId="711543523">
    <w:abstractNumId w:val="29"/>
  </w:num>
  <w:num w:numId="22" w16cid:durableId="1353143369">
    <w:abstractNumId w:val="3"/>
  </w:num>
  <w:num w:numId="23" w16cid:durableId="444621801">
    <w:abstractNumId w:val="35"/>
  </w:num>
  <w:num w:numId="24" w16cid:durableId="627050598">
    <w:abstractNumId w:val="4"/>
  </w:num>
  <w:num w:numId="25" w16cid:durableId="1062027543">
    <w:abstractNumId w:val="14"/>
  </w:num>
  <w:num w:numId="26" w16cid:durableId="1528563135">
    <w:abstractNumId w:val="12"/>
  </w:num>
  <w:num w:numId="27" w16cid:durableId="889614345">
    <w:abstractNumId w:val="6"/>
  </w:num>
  <w:num w:numId="28" w16cid:durableId="638924476">
    <w:abstractNumId w:val="1"/>
  </w:num>
  <w:num w:numId="29" w16cid:durableId="86929734">
    <w:abstractNumId w:val="24"/>
  </w:num>
  <w:num w:numId="30" w16cid:durableId="971907210">
    <w:abstractNumId w:val="38"/>
  </w:num>
  <w:num w:numId="31" w16cid:durableId="975336613">
    <w:abstractNumId w:val="13"/>
  </w:num>
  <w:num w:numId="32" w16cid:durableId="539903222">
    <w:abstractNumId w:val="17"/>
  </w:num>
  <w:num w:numId="33" w16cid:durableId="1091270157">
    <w:abstractNumId w:val="37"/>
  </w:num>
  <w:num w:numId="34" w16cid:durableId="1515418079">
    <w:abstractNumId w:val="33"/>
  </w:num>
  <w:num w:numId="35" w16cid:durableId="565458240">
    <w:abstractNumId w:val="32"/>
  </w:num>
  <w:num w:numId="36" w16cid:durableId="1397437763">
    <w:abstractNumId w:val="26"/>
  </w:num>
  <w:num w:numId="37" w16cid:durableId="584993366">
    <w:abstractNumId w:val="34"/>
  </w:num>
  <w:num w:numId="38" w16cid:durableId="637227597">
    <w:abstractNumId w:val="10"/>
  </w:num>
  <w:num w:numId="39" w16cid:durableId="30798025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75"/>
    <w:rsid w:val="0000053B"/>
    <w:rsid w:val="000006D5"/>
    <w:rsid w:val="00000E9C"/>
    <w:rsid w:val="00001E08"/>
    <w:rsid w:val="000042B5"/>
    <w:rsid w:val="00005C37"/>
    <w:rsid w:val="0001010D"/>
    <w:rsid w:val="00011314"/>
    <w:rsid w:val="00012D36"/>
    <w:rsid w:val="00013253"/>
    <w:rsid w:val="00016602"/>
    <w:rsid w:val="00017EC6"/>
    <w:rsid w:val="000211EC"/>
    <w:rsid w:val="00021A38"/>
    <w:rsid w:val="00022B7A"/>
    <w:rsid w:val="00026055"/>
    <w:rsid w:val="0002722C"/>
    <w:rsid w:val="00027FD4"/>
    <w:rsid w:val="00032F42"/>
    <w:rsid w:val="0003330F"/>
    <w:rsid w:val="00036E8A"/>
    <w:rsid w:val="00036FA1"/>
    <w:rsid w:val="00040EF0"/>
    <w:rsid w:val="0004558A"/>
    <w:rsid w:val="00050387"/>
    <w:rsid w:val="00052E2A"/>
    <w:rsid w:val="0005595B"/>
    <w:rsid w:val="00056948"/>
    <w:rsid w:val="000632DE"/>
    <w:rsid w:val="00065854"/>
    <w:rsid w:val="0006683C"/>
    <w:rsid w:val="000676F5"/>
    <w:rsid w:val="000704F3"/>
    <w:rsid w:val="000704F5"/>
    <w:rsid w:val="00070F8F"/>
    <w:rsid w:val="00072AF3"/>
    <w:rsid w:val="00072C6B"/>
    <w:rsid w:val="00075E60"/>
    <w:rsid w:val="000853EA"/>
    <w:rsid w:val="0009216A"/>
    <w:rsid w:val="00093805"/>
    <w:rsid w:val="00096C9C"/>
    <w:rsid w:val="000A0287"/>
    <w:rsid w:val="000A5592"/>
    <w:rsid w:val="000B1279"/>
    <w:rsid w:val="000B157E"/>
    <w:rsid w:val="000C2324"/>
    <w:rsid w:val="000C4966"/>
    <w:rsid w:val="000C4CBB"/>
    <w:rsid w:val="000C4F12"/>
    <w:rsid w:val="000C5140"/>
    <w:rsid w:val="000C61CC"/>
    <w:rsid w:val="000E035E"/>
    <w:rsid w:val="000E4398"/>
    <w:rsid w:val="000E69C3"/>
    <w:rsid w:val="000F123F"/>
    <w:rsid w:val="000F67F8"/>
    <w:rsid w:val="001013DA"/>
    <w:rsid w:val="00123876"/>
    <w:rsid w:val="00125200"/>
    <w:rsid w:val="00125618"/>
    <w:rsid w:val="00130C5C"/>
    <w:rsid w:val="0013690B"/>
    <w:rsid w:val="0014179E"/>
    <w:rsid w:val="00142DB5"/>
    <w:rsid w:val="00145118"/>
    <w:rsid w:val="00146829"/>
    <w:rsid w:val="001512B2"/>
    <w:rsid w:val="00153361"/>
    <w:rsid w:val="001549CB"/>
    <w:rsid w:val="00155AF0"/>
    <w:rsid w:val="00170BAD"/>
    <w:rsid w:val="001730E6"/>
    <w:rsid w:val="001764C5"/>
    <w:rsid w:val="001775DA"/>
    <w:rsid w:val="00183021"/>
    <w:rsid w:val="00183CB2"/>
    <w:rsid w:val="001846E9"/>
    <w:rsid w:val="00185E0B"/>
    <w:rsid w:val="001919A1"/>
    <w:rsid w:val="001921A5"/>
    <w:rsid w:val="00195575"/>
    <w:rsid w:val="001A2451"/>
    <w:rsid w:val="001A3153"/>
    <w:rsid w:val="001A32CA"/>
    <w:rsid w:val="001A3FBD"/>
    <w:rsid w:val="001A456C"/>
    <w:rsid w:val="001B2068"/>
    <w:rsid w:val="001B2C25"/>
    <w:rsid w:val="001B44DB"/>
    <w:rsid w:val="001B5E34"/>
    <w:rsid w:val="001C4F54"/>
    <w:rsid w:val="001C5837"/>
    <w:rsid w:val="001C58BD"/>
    <w:rsid w:val="001C6B4E"/>
    <w:rsid w:val="001C771D"/>
    <w:rsid w:val="001D308A"/>
    <w:rsid w:val="001D651D"/>
    <w:rsid w:val="001E092E"/>
    <w:rsid w:val="001E5E45"/>
    <w:rsid w:val="001F2A37"/>
    <w:rsid w:val="001F7C16"/>
    <w:rsid w:val="00200812"/>
    <w:rsid w:val="00200D68"/>
    <w:rsid w:val="002042D8"/>
    <w:rsid w:val="00204F58"/>
    <w:rsid w:val="00206116"/>
    <w:rsid w:val="00210329"/>
    <w:rsid w:val="00213714"/>
    <w:rsid w:val="002146FF"/>
    <w:rsid w:val="0022058B"/>
    <w:rsid w:val="0022304F"/>
    <w:rsid w:val="0022622A"/>
    <w:rsid w:val="00231C70"/>
    <w:rsid w:val="00236398"/>
    <w:rsid w:val="002418D6"/>
    <w:rsid w:val="00245AA0"/>
    <w:rsid w:val="002464D5"/>
    <w:rsid w:val="00261CC5"/>
    <w:rsid w:val="00263243"/>
    <w:rsid w:val="002646AB"/>
    <w:rsid w:val="00266B1D"/>
    <w:rsid w:val="00271B41"/>
    <w:rsid w:val="00275CE6"/>
    <w:rsid w:val="00277F8B"/>
    <w:rsid w:val="0028056F"/>
    <w:rsid w:val="00280C03"/>
    <w:rsid w:val="00283411"/>
    <w:rsid w:val="00284C65"/>
    <w:rsid w:val="002904C7"/>
    <w:rsid w:val="00290DC3"/>
    <w:rsid w:val="002911AA"/>
    <w:rsid w:val="00292058"/>
    <w:rsid w:val="002930E2"/>
    <w:rsid w:val="00295825"/>
    <w:rsid w:val="002974D1"/>
    <w:rsid w:val="002A2577"/>
    <w:rsid w:val="002A592F"/>
    <w:rsid w:val="002B5E43"/>
    <w:rsid w:val="002B7287"/>
    <w:rsid w:val="002B7298"/>
    <w:rsid w:val="002C56C0"/>
    <w:rsid w:val="002D413C"/>
    <w:rsid w:val="002E04A5"/>
    <w:rsid w:val="002E32EE"/>
    <w:rsid w:val="002E507B"/>
    <w:rsid w:val="002F0341"/>
    <w:rsid w:val="002F3580"/>
    <w:rsid w:val="002F4E62"/>
    <w:rsid w:val="002F5930"/>
    <w:rsid w:val="003015EF"/>
    <w:rsid w:val="00301CB5"/>
    <w:rsid w:val="00303669"/>
    <w:rsid w:val="00305A9A"/>
    <w:rsid w:val="00307238"/>
    <w:rsid w:val="003078F5"/>
    <w:rsid w:val="00311682"/>
    <w:rsid w:val="003146AE"/>
    <w:rsid w:val="0031720E"/>
    <w:rsid w:val="00327DFB"/>
    <w:rsid w:val="00335589"/>
    <w:rsid w:val="0033680F"/>
    <w:rsid w:val="003372DF"/>
    <w:rsid w:val="00344649"/>
    <w:rsid w:val="00344FD7"/>
    <w:rsid w:val="00345575"/>
    <w:rsid w:val="00353BD6"/>
    <w:rsid w:val="003547BF"/>
    <w:rsid w:val="00355BF8"/>
    <w:rsid w:val="00364519"/>
    <w:rsid w:val="003665E3"/>
    <w:rsid w:val="00366ADE"/>
    <w:rsid w:val="00367DC0"/>
    <w:rsid w:val="0037071F"/>
    <w:rsid w:val="00370AA4"/>
    <w:rsid w:val="003715D5"/>
    <w:rsid w:val="003736B2"/>
    <w:rsid w:val="0037784C"/>
    <w:rsid w:val="00377894"/>
    <w:rsid w:val="00393D8D"/>
    <w:rsid w:val="0039479F"/>
    <w:rsid w:val="00396519"/>
    <w:rsid w:val="00396E86"/>
    <w:rsid w:val="00397183"/>
    <w:rsid w:val="003A021F"/>
    <w:rsid w:val="003A3BD8"/>
    <w:rsid w:val="003A5DBF"/>
    <w:rsid w:val="003A6A8E"/>
    <w:rsid w:val="003B0381"/>
    <w:rsid w:val="003B2F94"/>
    <w:rsid w:val="003B7149"/>
    <w:rsid w:val="003C450E"/>
    <w:rsid w:val="003C78AB"/>
    <w:rsid w:val="003D797D"/>
    <w:rsid w:val="003D7B49"/>
    <w:rsid w:val="003E67DA"/>
    <w:rsid w:val="003E701D"/>
    <w:rsid w:val="003F1753"/>
    <w:rsid w:val="003F2EC0"/>
    <w:rsid w:val="003F41F8"/>
    <w:rsid w:val="00401423"/>
    <w:rsid w:val="00402250"/>
    <w:rsid w:val="00406F59"/>
    <w:rsid w:val="00407B93"/>
    <w:rsid w:val="00412F6D"/>
    <w:rsid w:val="004130B0"/>
    <w:rsid w:val="004149AE"/>
    <w:rsid w:val="00420522"/>
    <w:rsid w:val="0042181D"/>
    <w:rsid w:val="0042221A"/>
    <w:rsid w:val="00424195"/>
    <w:rsid w:val="00425D74"/>
    <w:rsid w:val="00426361"/>
    <w:rsid w:val="004279C0"/>
    <w:rsid w:val="0043134C"/>
    <w:rsid w:val="00431CF4"/>
    <w:rsid w:val="00436299"/>
    <w:rsid w:val="004443EA"/>
    <w:rsid w:val="004472F7"/>
    <w:rsid w:val="004512BF"/>
    <w:rsid w:val="00451C0F"/>
    <w:rsid w:val="00452E26"/>
    <w:rsid w:val="00457E1E"/>
    <w:rsid w:val="00467BC4"/>
    <w:rsid w:val="00470907"/>
    <w:rsid w:val="00474AD2"/>
    <w:rsid w:val="00475539"/>
    <w:rsid w:val="0048661C"/>
    <w:rsid w:val="004914E5"/>
    <w:rsid w:val="0049493B"/>
    <w:rsid w:val="004A24AD"/>
    <w:rsid w:val="004A5F0F"/>
    <w:rsid w:val="004A6477"/>
    <w:rsid w:val="004B15DE"/>
    <w:rsid w:val="004B7A70"/>
    <w:rsid w:val="004C20FC"/>
    <w:rsid w:val="004C3440"/>
    <w:rsid w:val="004C4B5A"/>
    <w:rsid w:val="004C59B4"/>
    <w:rsid w:val="004C74D3"/>
    <w:rsid w:val="004D2385"/>
    <w:rsid w:val="004D274D"/>
    <w:rsid w:val="004D6BFC"/>
    <w:rsid w:val="004E0B4C"/>
    <w:rsid w:val="004E5DCE"/>
    <w:rsid w:val="004F16F1"/>
    <w:rsid w:val="004F26E9"/>
    <w:rsid w:val="004F2EE6"/>
    <w:rsid w:val="004F5545"/>
    <w:rsid w:val="00500736"/>
    <w:rsid w:val="00500753"/>
    <w:rsid w:val="00501585"/>
    <w:rsid w:val="00513EF3"/>
    <w:rsid w:val="00514939"/>
    <w:rsid w:val="00517C43"/>
    <w:rsid w:val="00521DE7"/>
    <w:rsid w:val="00523B62"/>
    <w:rsid w:val="00526C5A"/>
    <w:rsid w:val="0054329C"/>
    <w:rsid w:val="0054486A"/>
    <w:rsid w:val="00547314"/>
    <w:rsid w:val="0055154C"/>
    <w:rsid w:val="00555740"/>
    <w:rsid w:val="00560597"/>
    <w:rsid w:val="00562751"/>
    <w:rsid w:val="00563BA9"/>
    <w:rsid w:val="0056427D"/>
    <w:rsid w:val="00566054"/>
    <w:rsid w:val="005663C3"/>
    <w:rsid w:val="00567330"/>
    <w:rsid w:val="00567C40"/>
    <w:rsid w:val="005735C6"/>
    <w:rsid w:val="00574180"/>
    <w:rsid w:val="00574C54"/>
    <w:rsid w:val="00583E05"/>
    <w:rsid w:val="005849A2"/>
    <w:rsid w:val="00584BE3"/>
    <w:rsid w:val="005855AB"/>
    <w:rsid w:val="00593277"/>
    <w:rsid w:val="00593671"/>
    <w:rsid w:val="0059431E"/>
    <w:rsid w:val="00597AEE"/>
    <w:rsid w:val="005A1651"/>
    <w:rsid w:val="005A1C9E"/>
    <w:rsid w:val="005A30E8"/>
    <w:rsid w:val="005A4BBA"/>
    <w:rsid w:val="005A7265"/>
    <w:rsid w:val="005B1180"/>
    <w:rsid w:val="005B240D"/>
    <w:rsid w:val="005B4657"/>
    <w:rsid w:val="005B4852"/>
    <w:rsid w:val="005B67E5"/>
    <w:rsid w:val="005C20C8"/>
    <w:rsid w:val="005C4DD0"/>
    <w:rsid w:val="005C6595"/>
    <w:rsid w:val="005C65B4"/>
    <w:rsid w:val="005C7622"/>
    <w:rsid w:val="005D253D"/>
    <w:rsid w:val="005D2B4E"/>
    <w:rsid w:val="005D52CA"/>
    <w:rsid w:val="005E3075"/>
    <w:rsid w:val="005F0190"/>
    <w:rsid w:val="005F3A1A"/>
    <w:rsid w:val="00604C63"/>
    <w:rsid w:val="00611673"/>
    <w:rsid w:val="00614994"/>
    <w:rsid w:val="00614FEA"/>
    <w:rsid w:val="00620F42"/>
    <w:rsid w:val="006212E4"/>
    <w:rsid w:val="00621816"/>
    <w:rsid w:val="00621B79"/>
    <w:rsid w:val="0062293D"/>
    <w:rsid w:val="00623412"/>
    <w:rsid w:val="0062625F"/>
    <w:rsid w:val="0062673E"/>
    <w:rsid w:val="00630669"/>
    <w:rsid w:val="00632A04"/>
    <w:rsid w:val="00636AA8"/>
    <w:rsid w:val="006378A1"/>
    <w:rsid w:val="00640CD6"/>
    <w:rsid w:val="00642FEC"/>
    <w:rsid w:val="006432C3"/>
    <w:rsid w:val="006460DE"/>
    <w:rsid w:val="006500C0"/>
    <w:rsid w:val="00650289"/>
    <w:rsid w:val="00652464"/>
    <w:rsid w:val="00652E3B"/>
    <w:rsid w:val="00653C6A"/>
    <w:rsid w:val="0065520C"/>
    <w:rsid w:val="00656B7F"/>
    <w:rsid w:val="006604FA"/>
    <w:rsid w:val="00664BC0"/>
    <w:rsid w:val="006678F4"/>
    <w:rsid w:val="00667AEB"/>
    <w:rsid w:val="00676199"/>
    <w:rsid w:val="00676CA0"/>
    <w:rsid w:val="006775A6"/>
    <w:rsid w:val="00680AF5"/>
    <w:rsid w:val="0068145C"/>
    <w:rsid w:val="00681589"/>
    <w:rsid w:val="00683BE6"/>
    <w:rsid w:val="00684BD2"/>
    <w:rsid w:val="00691C75"/>
    <w:rsid w:val="006A1F74"/>
    <w:rsid w:val="006A21D7"/>
    <w:rsid w:val="006A340B"/>
    <w:rsid w:val="006A6F29"/>
    <w:rsid w:val="006B286C"/>
    <w:rsid w:val="006C1B04"/>
    <w:rsid w:val="006C3C26"/>
    <w:rsid w:val="006C5AB7"/>
    <w:rsid w:val="006C6159"/>
    <w:rsid w:val="006C6EA6"/>
    <w:rsid w:val="006D33B1"/>
    <w:rsid w:val="006D4DFF"/>
    <w:rsid w:val="006E3F0C"/>
    <w:rsid w:val="006F612C"/>
    <w:rsid w:val="006F6FFF"/>
    <w:rsid w:val="00711103"/>
    <w:rsid w:val="0071546E"/>
    <w:rsid w:val="007211EA"/>
    <w:rsid w:val="007317D5"/>
    <w:rsid w:val="00732CCB"/>
    <w:rsid w:val="007338FB"/>
    <w:rsid w:val="0073600D"/>
    <w:rsid w:val="00745E73"/>
    <w:rsid w:val="0075093F"/>
    <w:rsid w:val="00751486"/>
    <w:rsid w:val="00751DA6"/>
    <w:rsid w:val="007520AF"/>
    <w:rsid w:val="00752A66"/>
    <w:rsid w:val="007563E1"/>
    <w:rsid w:val="00761125"/>
    <w:rsid w:val="00762DE1"/>
    <w:rsid w:val="00764E28"/>
    <w:rsid w:val="00772C21"/>
    <w:rsid w:val="0077393F"/>
    <w:rsid w:val="0077597F"/>
    <w:rsid w:val="00790FF5"/>
    <w:rsid w:val="00791172"/>
    <w:rsid w:val="00791E62"/>
    <w:rsid w:val="00793A0F"/>
    <w:rsid w:val="007A0185"/>
    <w:rsid w:val="007A22E3"/>
    <w:rsid w:val="007A38E8"/>
    <w:rsid w:val="007A4CDD"/>
    <w:rsid w:val="007B2312"/>
    <w:rsid w:val="007B71A4"/>
    <w:rsid w:val="007C517E"/>
    <w:rsid w:val="007C7C91"/>
    <w:rsid w:val="007D0011"/>
    <w:rsid w:val="007D2CA6"/>
    <w:rsid w:val="007D61D5"/>
    <w:rsid w:val="007E29D7"/>
    <w:rsid w:val="007E308B"/>
    <w:rsid w:val="007E5E77"/>
    <w:rsid w:val="007F4E65"/>
    <w:rsid w:val="00803FB9"/>
    <w:rsid w:val="00804493"/>
    <w:rsid w:val="00804546"/>
    <w:rsid w:val="008057A7"/>
    <w:rsid w:val="00806069"/>
    <w:rsid w:val="0080635B"/>
    <w:rsid w:val="00810210"/>
    <w:rsid w:val="00810D69"/>
    <w:rsid w:val="00812D07"/>
    <w:rsid w:val="00813744"/>
    <w:rsid w:val="00813C74"/>
    <w:rsid w:val="00815B83"/>
    <w:rsid w:val="00815D59"/>
    <w:rsid w:val="008218A7"/>
    <w:rsid w:val="00822296"/>
    <w:rsid w:val="0082446F"/>
    <w:rsid w:val="0083375C"/>
    <w:rsid w:val="008349CA"/>
    <w:rsid w:val="00837126"/>
    <w:rsid w:val="00841051"/>
    <w:rsid w:val="008412B7"/>
    <w:rsid w:val="00843110"/>
    <w:rsid w:val="00846C0D"/>
    <w:rsid w:val="00850B7F"/>
    <w:rsid w:val="00850C89"/>
    <w:rsid w:val="0085313E"/>
    <w:rsid w:val="00857FE0"/>
    <w:rsid w:val="00860F65"/>
    <w:rsid w:val="00864301"/>
    <w:rsid w:val="00872E6A"/>
    <w:rsid w:val="00874D62"/>
    <w:rsid w:val="00875B37"/>
    <w:rsid w:val="00875F10"/>
    <w:rsid w:val="0088240F"/>
    <w:rsid w:val="00883730"/>
    <w:rsid w:val="00886228"/>
    <w:rsid w:val="00890EA3"/>
    <w:rsid w:val="0089224A"/>
    <w:rsid w:val="00893D47"/>
    <w:rsid w:val="0089523C"/>
    <w:rsid w:val="008962B8"/>
    <w:rsid w:val="0089747D"/>
    <w:rsid w:val="008A70EA"/>
    <w:rsid w:val="008A731B"/>
    <w:rsid w:val="008A7B08"/>
    <w:rsid w:val="008B03FC"/>
    <w:rsid w:val="008B4403"/>
    <w:rsid w:val="008B4ED5"/>
    <w:rsid w:val="008B70D6"/>
    <w:rsid w:val="008C1364"/>
    <w:rsid w:val="008C1643"/>
    <w:rsid w:val="008C410E"/>
    <w:rsid w:val="008C5B30"/>
    <w:rsid w:val="008C5F7F"/>
    <w:rsid w:val="008D08EB"/>
    <w:rsid w:val="008D3D60"/>
    <w:rsid w:val="008D61E1"/>
    <w:rsid w:val="008E18FB"/>
    <w:rsid w:val="008E5867"/>
    <w:rsid w:val="008E60CE"/>
    <w:rsid w:val="008F1B06"/>
    <w:rsid w:val="008F3460"/>
    <w:rsid w:val="008F6174"/>
    <w:rsid w:val="008F7802"/>
    <w:rsid w:val="00905771"/>
    <w:rsid w:val="0090732B"/>
    <w:rsid w:val="00912B9B"/>
    <w:rsid w:val="00914AD2"/>
    <w:rsid w:val="009153CD"/>
    <w:rsid w:val="00925455"/>
    <w:rsid w:val="0092606D"/>
    <w:rsid w:val="0092768C"/>
    <w:rsid w:val="00927D91"/>
    <w:rsid w:val="00931624"/>
    <w:rsid w:val="00932D1E"/>
    <w:rsid w:val="0093430D"/>
    <w:rsid w:val="00941496"/>
    <w:rsid w:val="00942416"/>
    <w:rsid w:val="00942FDB"/>
    <w:rsid w:val="00944B8F"/>
    <w:rsid w:val="00957FE4"/>
    <w:rsid w:val="00965183"/>
    <w:rsid w:val="00967B01"/>
    <w:rsid w:val="00970423"/>
    <w:rsid w:val="00970E37"/>
    <w:rsid w:val="00975B83"/>
    <w:rsid w:val="0099615A"/>
    <w:rsid w:val="00996C4C"/>
    <w:rsid w:val="00996D28"/>
    <w:rsid w:val="00997AE1"/>
    <w:rsid w:val="009A0770"/>
    <w:rsid w:val="009A5AA4"/>
    <w:rsid w:val="009A5AD4"/>
    <w:rsid w:val="009B0C8B"/>
    <w:rsid w:val="009B323F"/>
    <w:rsid w:val="009B4E61"/>
    <w:rsid w:val="009B5FDA"/>
    <w:rsid w:val="009C23A1"/>
    <w:rsid w:val="009C345D"/>
    <w:rsid w:val="009D0A1F"/>
    <w:rsid w:val="009D1E22"/>
    <w:rsid w:val="009D7F3A"/>
    <w:rsid w:val="009E115D"/>
    <w:rsid w:val="009E35D0"/>
    <w:rsid w:val="009E4360"/>
    <w:rsid w:val="009E5905"/>
    <w:rsid w:val="009E6D36"/>
    <w:rsid w:val="009F0D42"/>
    <w:rsid w:val="009F2D79"/>
    <w:rsid w:val="009F3A39"/>
    <w:rsid w:val="009F44DD"/>
    <w:rsid w:val="00A033C2"/>
    <w:rsid w:val="00A06B7A"/>
    <w:rsid w:val="00A27B0C"/>
    <w:rsid w:val="00A324C6"/>
    <w:rsid w:val="00A344C1"/>
    <w:rsid w:val="00A34B5E"/>
    <w:rsid w:val="00A350C1"/>
    <w:rsid w:val="00A3511C"/>
    <w:rsid w:val="00A40F5E"/>
    <w:rsid w:val="00A4250B"/>
    <w:rsid w:val="00A516CF"/>
    <w:rsid w:val="00A51E33"/>
    <w:rsid w:val="00A52F34"/>
    <w:rsid w:val="00A57050"/>
    <w:rsid w:val="00A609D1"/>
    <w:rsid w:val="00A65A37"/>
    <w:rsid w:val="00A7022E"/>
    <w:rsid w:val="00A83AF6"/>
    <w:rsid w:val="00A859BB"/>
    <w:rsid w:val="00A86B8F"/>
    <w:rsid w:val="00A87390"/>
    <w:rsid w:val="00A9061F"/>
    <w:rsid w:val="00A92449"/>
    <w:rsid w:val="00A937AA"/>
    <w:rsid w:val="00A93EA9"/>
    <w:rsid w:val="00A95434"/>
    <w:rsid w:val="00A96F7B"/>
    <w:rsid w:val="00A972A8"/>
    <w:rsid w:val="00AA3031"/>
    <w:rsid w:val="00AA6944"/>
    <w:rsid w:val="00AB4A00"/>
    <w:rsid w:val="00AB5136"/>
    <w:rsid w:val="00AB5CA2"/>
    <w:rsid w:val="00AC00FD"/>
    <w:rsid w:val="00AC083C"/>
    <w:rsid w:val="00AC2CA2"/>
    <w:rsid w:val="00AC7E19"/>
    <w:rsid w:val="00AD160C"/>
    <w:rsid w:val="00AD17D5"/>
    <w:rsid w:val="00AD7EBA"/>
    <w:rsid w:val="00AE0A42"/>
    <w:rsid w:val="00AE0D1C"/>
    <w:rsid w:val="00AE0FEC"/>
    <w:rsid w:val="00AE1D95"/>
    <w:rsid w:val="00AE622F"/>
    <w:rsid w:val="00AE7730"/>
    <w:rsid w:val="00B045A6"/>
    <w:rsid w:val="00B04E8E"/>
    <w:rsid w:val="00B07CC1"/>
    <w:rsid w:val="00B11D93"/>
    <w:rsid w:val="00B229BE"/>
    <w:rsid w:val="00B23933"/>
    <w:rsid w:val="00B2702B"/>
    <w:rsid w:val="00B33EA1"/>
    <w:rsid w:val="00B34E65"/>
    <w:rsid w:val="00B35A0D"/>
    <w:rsid w:val="00B4376F"/>
    <w:rsid w:val="00B445A8"/>
    <w:rsid w:val="00B47011"/>
    <w:rsid w:val="00B5126B"/>
    <w:rsid w:val="00B5257B"/>
    <w:rsid w:val="00B5623C"/>
    <w:rsid w:val="00B60659"/>
    <w:rsid w:val="00B60C28"/>
    <w:rsid w:val="00B60DAA"/>
    <w:rsid w:val="00B61A35"/>
    <w:rsid w:val="00B6354A"/>
    <w:rsid w:val="00B643F8"/>
    <w:rsid w:val="00B66187"/>
    <w:rsid w:val="00B71026"/>
    <w:rsid w:val="00B773A5"/>
    <w:rsid w:val="00B77BD0"/>
    <w:rsid w:val="00B77C09"/>
    <w:rsid w:val="00B81B13"/>
    <w:rsid w:val="00B83FAF"/>
    <w:rsid w:val="00B84FA5"/>
    <w:rsid w:val="00B86A6E"/>
    <w:rsid w:val="00B92D71"/>
    <w:rsid w:val="00B95C70"/>
    <w:rsid w:val="00BA1193"/>
    <w:rsid w:val="00BA6CD4"/>
    <w:rsid w:val="00BA7A93"/>
    <w:rsid w:val="00BB512B"/>
    <w:rsid w:val="00BC2A43"/>
    <w:rsid w:val="00BC62E4"/>
    <w:rsid w:val="00BD0978"/>
    <w:rsid w:val="00BD32BF"/>
    <w:rsid w:val="00BD7F48"/>
    <w:rsid w:val="00BE4817"/>
    <w:rsid w:val="00BF0CA3"/>
    <w:rsid w:val="00BF1D04"/>
    <w:rsid w:val="00C04050"/>
    <w:rsid w:val="00C047FD"/>
    <w:rsid w:val="00C0581A"/>
    <w:rsid w:val="00C138C0"/>
    <w:rsid w:val="00C14316"/>
    <w:rsid w:val="00C2713E"/>
    <w:rsid w:val="00C3282D"/>
    <w:rsid w:val="00C33FE7"/>
    <w:rsid w:val="00C35203"/>
    <w:rsid w:val="00C35A8E"/>
    <w:rsid w:val="00C3677D"/>
    <w:rsid w:val="00C37724"/>
    <w:rsid w:val="00C420B4"/>
    <w:rsid w:val="00C423B0"/>
    <w:rsid w:val="00C4783B"/>
    <w:rsid w:val="00C50DAB"/>
    <w:rsid w:val="00C521B7"/>
    <w:rsid w:val="00C528BB"/>
    <w:rsid w:val="00C55E7D"/>
    <w:rsid w:val="00C57B8E"/>
    <w:rsid w:val="00C630B3"/>
    <w:rsid w:val="00C63648"/>
    <w:rsid w:val="00C731B6"/>
    <w:rsid w:val="00C87255"/>
    <w:rsid w:val="00C916B5"/>
    <w:rsid w:val="00C9458D"/>
    <w:rsid w:val="00C97808"/>
    <w:rsid w:val="00CA1315"/>
    <w:rsid w:val="00CA30F8"/>
    <w:rsid w:val="00CA5615"/>
    <w:rsid w:val="00CA6B9B"/>
    <w:rsid w:val="00CA6CF8"/>
    <w:rsid w:val="00CB1556"/>
    <w:rsid w:val="00CB4CA3"/>
    <w:rsid w:val="00CC202D"/>
    <w:rsid w:val="00CC4312"/>
    <w:rsid w:val="00CC6B49"/>
    <w:rsid w:val="00CC7C43"/>
    <w:rsid w:val="00CD3113"/>
    <w:rsid w:val="00CD458B"/>
    <w:rsid w:val="00CE297B"/>
    <w:rsid w:val="00CE5640"/>
    <w:rsid w:val="00CF118F"/>
    <w:rsid w:val="00CF6C68"/>
    <w:rsid w:val="00D06165"/>
    <w:rsid w:val="00D071BF"/>
    <w:rsid w:val="00D15C0F"/>
    <w:rsid w:val="00D22D26"/>
    <w:rsid w:val="00D23564"/>
    <w:rsid w:val="00D37E45"/>
    <w:rsid w:val="00D40390"/>
    <w:rsid w:val="00D47928"/>
    <w:rsid w:val="00D51FDE"/>
    <w:rsid w:val="00D530CF"/>
    <w:rsid w:val="00D53767"/>
    <w:rsid w:val="00D5623F"/>
    <w:rsid w:val="00D649D0"/>
    <w:rsid w:val="00D67968"/>
    <w:rsid w:val="00D8342D"/>
    <w:rsid w:val="00D84273"/>
    <w:rsid w:val="00D8569F"/>
    <w:rsid w:val="00D96DD1"/>
    <w:rsid w:val="00DA407A"/>
    <w:rsid w:val="00DB09AA"/>
    <w:rsid w:val="00DB2C76"/>
    <w:rsid w:val="00DB4616"/>
    <w:rsid w:val="00DB67F1"/>
    <w:rsid w:val="00DC7FF8"/>
    <w:rsid w:val="00DE08ED"/>
    <w:rsid w:val="00DE1668"/>
    <w:rsid w:val="00DE67FD"/>
    <w:rsid w:val="00DF27B4"/>
    <w:rsid w:val="00DF5FDD"/>
    <w:rsid w:val="00DF762E"/>
    <w:rsid w:val="00E02ADD"/>
    <w:rsid w:val="00E075EE"/>
    <w:rsid w:val="00E07ACD"/>
    <w:rsid w:val="00E11499"/>
    <w:rsid w:val="00E133DC"/>
    <w:rsid w:val="00E138C3"/>
    <w:rsid w:val="00E20B75"/>
    <w:rsid w:val="00E34ED6"/>
    <w:rsid w:val="00E354E8"/>
    <w:rsid w:val="00E35A25"/>
    <w:rsid w:val="00E37A7C"/>
    <w:rsid w:val="00E43549"/>
    <w:rsid w:val="00E44BBD"/>
    <w:rsid w:val="00E52797"/>
    <w:rsid w:val="00E5588A"/>
    <w:rsid w:val="00E61C3A"/>
    <w:rsid w:val="00E61FBF"/>
    <w:rsid w:val="00E62351"/>
    <w:rsid w:val="00E625E3"/>
    <w:rsid w:val="00E62833"/>
    <w:rsid w:val="00E62B09"/>
    <w:rsid w:val="00E64E06"/>
    <w:rsid w:val="00E658DA"/>
    <w:rsid w:val="00E72471"/>
    <w:rsid w:val="00E74CEE"/>
    <w:rsid w:val="00E7516A"/>
    <w:rsid w:val="00E826C0"/>
    <w:rsid w:val="00E8320F"/>
    <w:rsid w:val="00E854A4"/>
    <w:rsid w:val="00E86C8B"/>
    <w:rsid w:val="00E9086B"/>
    <w:rsid w:val="00E92415"/>
    <w:rsid w:val="00E94A2A"/>
    <w:rsid w:val="00EA211F"/>
    <w:rsid w:val="00EA56F3"/>
    <w:rsid w:val="00EA5DD9"/>
    <w:rsid w:val="00EB347A"/>
    <w:rsid w:val="00EB4024"/>
    <w:rsid w:val="00EB6BC2"/>
    <w:rsid w:val="00EC0EAD"/>
    <w:rsid w:val="00EC3658"/>
    <w:rsid w:val="00EC6D08"/>
    <w:rsid w:val="00ED1300"/>
    <w:rsid w:val="00ED3998"/>
    <w:rsid w:val="00ED614B"/>
    <w:rsid w:val="00EE142B"/>
    <w:rsid w:val="00EE7210"/>
    <w:rsid w:val="00EE7AB2"/>
    <w:rsid w:val="00EF375B"/>
    <w:rsid w:val="00EF3BBE"/>
    <w:rsid w:val="00EF3BF4"/>
    <w:rsid w:val="00F00498"/>
    <w:rsid w:val="00F00636"/>
    <w:rsid w:val="00F028F8"/>
    <w:rsid w:val="00F04D61"/>
    <w:rsid w:val="00F06C08"/>
    <w:rsid w:val="00F0755D"/>
    <w:rsid w:val="00F07F7D"/>
    <w:rsid w:val="00F112A8"/>
    <w:rsid w:val="00F16718"/>
    <w:rsid w:val="00F17951"/>
    <w:rsid w:val="00F20A3A"/>
    <w:rsid w:val="00F20D74"/>
    <w:rsid w:val="00F2433C"/>
    <w:rsid w:val="00F252E1"/>
    <w:rsid w:val="00F25B1F"/>
    <w:rsid w:val="00F260C0"/>
    <w:rsid w:val="00F279EF"/>
    <w:rsid w:val="00F31690"/>
    <w:rsid w:val="00F326D2"/>
    <w:rsid w:val="00F34283"/>
    <w:rsid w:val="00F36CF2"/>
    <w:rsid w:val="00F407B1"/>
    <w:rsid w:val="00F444C6"/>
    <w:rsid w:val="00F46088"/>
    <w:rsid w:val="00F515FA"/>
    <w:rsid w:val="00F51C06"/>
    <w:rsid w:val="00F555F7"/>
    <w:rsid w:val="00F55B06"/>
    <w:rsid w:val="00F6232D"/>
    <w:rsid w:val="00F626EE"/>
    <w:rsid w:val="00F63762"/>
    <w:rsid w:val="00F640B0"/>
    <w:rsid w:val="00F64C48"/>
    <w:rsid w:val="00F655BB"/>
    <w:rsid w:val="00F70D99"/>
    <w:rsid w:val="00F7117C"/>
    <w:rsid w:val="00F730FF"/>
    <w:rsid w:val="00F74609"/>
    <w:rsid w:val="00F767F3"/>
    <w:rsid w:val="00F82986"/>
    <w:rsid w:val="00F8409B"/>
    <w:rsid w:val="00F84C95"/>
    <w:rsid w:val="00F84DA3"/>
    <w:rsid w:val="00F86168"/>
    <w:rsid w:val="00F94EE8"/>
    <w:rsid w:val="00F96FFC"/>
    <w:rsid w:val="00FA0AD5"/>
    <w:rsid w:val="00FA202B"/>
    <w:rsid w:val="00FA65C7"/>
    <w:rsid w:val="00FB18A5"/>
    <w:rsid w:val="00FB1F6A"/>
    <w:rsid w:val="00FB5373"/>
    <w:rsid w:val="00FC22B5"/>
    <w:rsid w:val="00FD1ABD"/>
    <w:rsid w:val="00FD2019"/>
    <w:rsid w:val="00FD3D62"/>
    <w:rsid w:val="00FD7F2D"/>
    <w:rsid w:val="00FE3C1C"/>
    <w:rsid w:val="00FF1AD4"/>
    <w:rsid w:val="00FF1C67"/>
    <w:rsid w:val="00FF4605"/>
    <w:rsid w:val="00FF528F"/>
    <w:rsid w:val="00FF71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EF86"/>
  <w15:chartTrackingRefBased/>
  <w15:docId w15:val="{561A194A-F1E6-4691-B5EB-B79F7B36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575"/>
    <w:pPr>
      <w:spacing w:after="200" w:line="276" w:lineRule="auto"/>
    </w:pPr>
    <w:rPr>
      <w:rFonts w:ascii="Calibri" w:eastAsia="Calibri" w:hAnsi="Calibri" w:cs="Calibri"/>
      <w:kern w:val="0"/>
      <w:lang w:eastAsia="en-NZ"/>
      <w14:ligatures w14:val="none"/>
    </w:rPr>
  </w:style>
  <w:style w:type="paragraph" w:styleId="Heading1">
    <w:name w:val="heading 1"/>
    <w:basedOn w:val="Normal"/>
    <w:next w:val="Normal"/>
    <w:link w:val="Heading1Char"/>
    <w:uiPriority w:val="9"/>
    <w:qFormat/>
    <w:rsid w:val="00195575"/>
    <w:pPr>
      <w:keepNext/>
      <w:spacing w:before="120" w:after="240"/>
      <w:ind w:left="851"/>
      <w:outlineLvl w:val="0"/>
    </w:pPr>
    <w:rPr>
      <w:b/>
      <w:sz w:val="40"/>
      <w:szCs w:val="40"/>
    </w:rPr>
  </w:style>
  <w:style w:type="paragraph" w:styleId="Heading2">
    <w:name w:val="heading 2"/>
    <w:basedOn w:val="Normal"/>
    <w:next w:val="Normal"/>
    <w:link w:val="Heading2Char"/>
    <w:uiPriority w:val="9"/>
    <w:semiHidden/>
    <w:unhideWhenUsed/>
    <w:qFormat/>
    <w:rsid w:val="00C352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95575"/>
    <w:pPr>
      <w:keepNext/>
      <w:spacing w:before="120" w:after="240"/>
      <w:ind w:left="851"/>
      <w:outlineLvl w:val="2"/>
    </w:pPr>
    <w:rPr>
      <w:rFonts w:ascii="Arial" w:eastAsia="Arial" w:hAnsi="Arial" w:cs="Arial"/>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575"/>
    <w:rPr>
      <w:rFonts w:ascii="Calibri" w:eastAsia="Calibri" w:hAnsi="Calibri" w:cs="Calibri"/>
      <w:b/>
      <w:kern w:val="0"/>
      <w:sz w:val="40"/>
      <w:szCs w:val="40"/>
      <w:lang w:eastAsia="en-NZ"/>
      <w14:ligatures w14:val="none"/>
    </w:rPr>
  </w:style>
  <w:style w:type="character" w:customStyle="1" w:styleId="Heading3Char">
    <w:name w:val="Heading 3 Char"/>
    <w:basedOn w:val="DefaultParagraphFont"/>
    <w:link w:val="Heading3"/>
    <w:uiPriority w:val="9"/>
    <w:rsid w:val="00195575"/>
    <w:rPr>
      <w:rFonts w:ascii="Arial" w:eastAsia="Arial" w:hAnsi="Arial" w:cs="Arial"/>
      <w:b/>
      <w:kern w:val="0"/>
      <w:sz w:val="36"/>
      <w:szCs w:val="36"/>
      <w:lang w:eastAsia="en-NZ"/>
      <w14:ligatures w14:val="none"/>
    </w:rPr>
  </w:style>
  <w:style w:type="paragraph" w:styleId="CommentText">
    <w:name w:val="annotation text"/>
    <w:basedOn w:val="Normal"/>
    <w:link w:val="CommentTextChar"/>
    <w:uiPriority w:val="99"/>
    <w:unhideWhenUsed/>
    <w:rsid w:val="00195575"/>
    <w:pPr>
      <w:spacing w:line="240" w:lineRule="auto"/>
    </w:pPr>
    <w:rPr>
      <w:sz w:val="20"/>
      <w:szCs w:val="20"/>
    </w:rPr>
  </w:style>
  <w:style w:type="character" w:customStyle="1" w:styleId="CommentTextChar">
    <w:name w:val="Comment Text Char"/>
    <w:basedOn w:val="DefaultParagraphFont"/>
    <w:link w:val="CommentText"/>
    <w:uiPriority w:val="99"/>
    <w:rsid w:val="00195575"/>
    <w:rPr>
      <w:rFonts w:ascii="Calibri" w:eastAsia="Calibri" w:hAnsi="Calibri" w:cs="Calibri"/>
      <w:kern w:val="0"/>
      <w:sz w:val="20"/>
      <w:szCs w:val="20"/>
      <w:lang w:eastAsia="en-NZ"/>
      <w14:ligatures w14:val="none"/>
    </w:rPr>
  </w:style>
  <w:style w:type="character" w:styleId="CommentReference">
    <w:name w:val="annotation reference"/>
    <w:basedOn w:val="DefaultParagraphFont"/>
    <w:uiPriority w:val="99"/>
    <w:semiHidden/>
    <w:unhideWhenUsed/>
    <w:rsid w:val="00195575"/>
    <w:rPr>
      <w:sz w:val="16"/>
      <w:szCs w:val="16"/>
    </w:rPr>
  </w:style>
  <w:style w:type="paragraph" w:styleId="ListParagraph">
    <w:name w:val="List Paragraph"/>
    <w:basedOn w:val="Normal"/>
    <w:uiPriority w:val="34"/>
    <w:qFormat/>
    <w:rsid w:val="00195575"/>
    <w:pPr>
      <w:ind w:left="720"/>
      <w:contextualSpacing/>
    </w:pPr>
  </w:style>
  <w:style w:type="character" w:styleId="Hyperlink">
    <w:name w:val="Hyperlink"/>
    <w:basedOn w:val="DefaultParagraphFont"/>
    <w:uiPriority w:val="99"/>
    <w:unhideWhenUsed/>
    <w:rsid w:val="00195575"/>
    <w:rPr>
      <w:color w:val="0563C1" w:themeColor="hyperlink"/>
      <w:u w:val="single"/>
    </w:rPr>
  </w:style>
  <w:style w:type="character" w:customStyle="1" w:styleId="QualityManualheading2Char">
    <w:name w:val="Quality Manual heading 2 Char"/>
    <w:basedOn w:val="DefaultParagraphFont"/>
    <w:link w:val="QualityManualheading2"/>
    <w:locked/>
    <w:rsid w:val="00195575"/>
    <w:rPr>
      <w:rFonts w:ascii="Arial" w:hAnsi="Arial" w:cs="Arial"/>
      <w:b/>
      <w:bCs/>
    </w:rPr>
  </w:style>
  <w:style w:type="paragraph" w:customStyle="1" w:styleId="QualityManualheading2">
    <w:name w:val="Quality Manual heading 2"/>
    <w:basedOn w:val="Normal"/>
    <w:link w:val="QualityManualheading2Char"/>
    <w:rsid w:val="00195575"/>
    <w:pPr>
      <w:overflowPunct w:val="0"/>
      <w:autoSpaceDE w:val="0"/>
      <w:autoSpaceDN w:val="0"/>
      <w:spacing w:after="0" w:line="240" w:lineRule="auto"/>
      <w:ind w:left="576" w:hanging="576"/>
    </w:pPr>
    <w:rPr>
      <w:rFonts w:ascii="Arial" w:eastAsiaTheme="minorHAnsi" w:hAnsi="Arial" w:cs="Arial"/>
      <w:b/>
      <w:bCs/>
      <w:kern w:val="2"/>
      <w:lang w:eastAsia="en-US"/>
      <w14:ligatures w14:val="standardContextual"/>
    </w:rPr>
  </w:style>
  <w:style w:type="table" w:styleId="TableGrid">
    <w:name w:val="Table Grid"/>
    <w:basedOn w:val="TableNormal"/>
    <w:uiPriority w:val="59"/>
    <w:rsid w:val="00996D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7DC0"/>
    <w:pPr>
      <w:spacing w:after="0" w:line="240" w:lineRule="auto"/>
    </w:pPr>
    <w:rPr>
      <w:rFonts w:ascii="Calibri" w:eastAsia="Calibri" w:hAnsi="Calibri" w:cs="Calibri"/>
      <w:kern w:val="0"/>
      <w:lang w:eastAsia="en-NZ"/>
      <w14:ligatures w14:val="none"/>
    </w:rPr>
  </w:style>
  <w:style w:type="character" w:styleId="UnresolvedMention">
    <w:name w:val="Unresolved Mention"/>
    <w:basedOn w:val="DefaultParagraphFont"/>
    <w:uiPriority w:val="99"/>
    <w:semiHidden/>
    <w:unhideWhenUsed/>
    <w:rsid w:val="00C04050"/>
    <w:rPr>
      <w:color w:val="605E5C"/>
      <w:shd w:val="clear" w:color="auto" w:fill="E1DFDD"/>
    </w:rPr>
  </w:style>
  <w:style w:type="character" w:styleId="FollowedHyperlink">
    <w:name w:val="FollowedHyperlink"/>
    <w:basedOn w:val="DefaultParagraphFont"/>
    <w:uiPriority w:val="99"/>
    <w:semiHidden/>
    <w:unhideWhenUsed/>
    <w:rsid w:val="00C04050"/>
    <w:rPr>
      <w:color w:val="954F72" w:themeColor="followedHyperlink"/>
      <w:u w:val="single"/>
    </w:rPr>
  </w:style>
  <w:style w:type="paragraph" w:styleId="Header">
    <w:name w:val="header"/>
    <w:basedOn w:val="Normal"/>
    <w:link w:val="HeaderChar"/>
    <w:uiPriority w:val="99"/>
    <w:unhideWhenUsed/>
    <w:rsid w:val="00BD3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2BF"/>
    <w:rPr>
      <w:rFonts w:ascii="Calibri" w:eastAsia="Calibri" w:hAnsi="Calibri" w:cs="Calibri"/>
      <w:kern w:val="0"/>
      <w:lang w:eastAsia="en-NZ"/>
      <w14:ligatures w14:val="none"/>
    </w:rPr>
  </w:style>
  <w:style w:type="paragraph" w:styleId="Footer">
    <w:name w:val="footer"/>
    <w:basedOn w:val="Normal"/>
    <w:link w:val="FooterChar"/>
    <w:uiPriority w:val="99"/>
    <w:unhideWhenUsed/>
    <w:rsid w:val="00BD3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2BF"/>
    <w:rPr>
      <w:rFonts w:ascii="Calibri" w:eastAsia="Calibri" w:hAnsi="Calibri" w:cs="Calibri"/>
      <w:kern w:val="0"/>
      <w:lang w:eastAsia="en-NZ"/>
      <w14:ligatures w14:val="none"/>
    </w:rPr>
  </w:style>
  <w:style w:type="character" w:customStyle="1" w:styleId="Heading2Char">
    <w:name w:val="Heading 2 Char"/>
    <w:basedOn w:val="DefaultParagraphFont"/>
    <w:link w:val="Heading2"/>
    <w:uiPriority w:val="9"/>
    <w:semiHidden/>
    <w:rsid w:val="00C35203"/>
    <w:rPr>
      <w:rFonts w:asciiTheme="majorHAnsi" w:eastAsiaTheme="majorEastAsia" w:hAnsiTheme="majorHAnsi" w:cstheme="majorBidi"/>
      <w:color w:val="2F5496" w:themeColor="accent1" w:themeShade="BF"/>
      <w:kern w:val="0"/>
      <w:sz w:val="26"/>
      <w:szCs w:val="26"/>
      <w:lang w:eastAsia="en-NZ"/>
      <w14:ligatures w14:val="none"/>
    </w:rPr>
  </w:style>
  <w:style w:type="paragraph" w:styleId="CommentSubject">
    <w:name w:val="annotation subject"/>
    <w:basedOn w:val="CommentText"/>
    <w:next w:val="CommentText"/>
    <w:link w:val="CommentSubjectChar"/>
    <w:uiPriority w:val="99"/>
    <w:semiHidden/>
    <w:unhideWhenUsed/>
    <w:rsid w:val="00295825"/>
    <w:rPr>
      <w:b/>
      <w:bCs/>
    </w:rPr>
  </w:style>
  <w:style w:type="character" w:customStyle="1" w:styleId="CommentSubjectChar">
    <w:name w:val="Comment Subject Char"/>
    <w:basedOn w:val="CommentTextChar"/>
    <w:link w:val="CommentSubject"/>
    <w:uiPriority w:val="99"/>
    <w:semiHidden/>
    <w:rsid w:val="00295825"/>
    <w:rPr>
      <w:rFonts w:ascii="Calibri" w:eastAsia="Calibri" w:hAnsi="Calibri" w:cs="Calibri"/>
      <w:b/>
      <w:bCs/>
      <w:kern w:val="0"/>
      <w:sz w:val="20"/>
      <w:szCs w:val="20"/>
      <w:lang w:eastAsia="en-NZ"/>
      <w14:ligatures w14:val="none"/>
    </w:rPr>
  </w:style>
  <w:style w:type="table" w:styleId="LightList-Accent3">
    <w:name w:val="Light List Accent 3"/>
    <w:basedOn w:val="TableNormal"/>
    <w:uiPriority w:val="61"/>
    <w:rsid w:val="0022622A"/>
    <w:pPr>
      <w:spacing w:after="0" w:line="240" w:lineRule="auto"/>
    </w:pPr>
    <w:rPr>
      <w:rFonts w:eastAsiaTheme="minorEastAsia"/>
      <w:kern w:val="0"/>
      <w:lang w:val="en-US" w:eastAsia="ja-JP"/>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FootnoteText">
    <w:name w:val="footnote text"/>
    <w:basedOn w:val="Normal"/>
    <w:link w:val="FootnoteTextChar"/>
    <w:uiPriority w:val="99"/>
    <w:semiHidden/>
    <w:unhideWhenUsed/>
    <w:rsid w:val="00691C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1C75"/>
    <w:rPr>
      <w:rFonts w:ascii="Calibri" w:eastAsia="Calibri" w:hAnsi="Calibri" w:cs="Calibri"/>
      <w:kern w:val="0"/>
      <w:sz w:val="20"/>
      <w:szCs w:val="20"/>
      <w:lang w:eastAsia="en-NZ"/>
      <w14:ligatures w14:val="none"/>
    </w:rPr>
  </w:style>
  <w:style w:type="character" w:styleId="FootnoteReference">
    <w:name w:val="footnote reference"/>
    <w:basedOn w:val="DefaultParagraphFont"/>
    <w:uiPriority w:val="99"/>
    <w:semiHidden/>
    <w:unhideWhenUsed/>
    <w:rsid w:val="00691C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931153">
      <w:bodyDiv w:val="1"/>
      <w:marLeft w:val="0"/>
      <w:marRight w:val="0"/>
      <w:marTop w:val="0"/>
      <w:marBottom w:val="0"/>
      <w:divBdr>
        <w:top w:val="none" w:sz="0" w:space="0" w:color="auto"/>
        <w:left w:val="none" w:sz="0" w:space="0" w:color="auto"/>
        <w:bottom w:val="none" w:sz="0" w:space="0" w:color="auto"/>
        <w:right w:val="none" w:sz="0" w:space="0" w:color="auto"/>
      </w:divBdr>
      <w:divsChild>
        <w:div w:id="159201408">
          <w:marLeft w:val="0"/>
          <w:marRight w:val="0"/>
          <w:marTop w:val="0"/>
          <w:marBottom w:val="0"/>
          <w:divBdr>
            <w:top w:val="none" w:sz="0" w:space="0" w:color="auto"/>
            <w:left w:val="none" w:sz="0" w:space="0" w:color="auto"/>
            <w:bottom w:val="none" w:sz="0" w:space="0" w:color="auto"/>
            <w:right w:val="none" w:sz="0" w:space="0" w:color="auto"/>
          </w:divBdr>
        </w:div>
        <w:div w:id="821654344">
          <w:marLeft w:val="0"/>
          <w:marRight w:val="0"/>
          <w:marTop w:val="0"/>
          <w:marBottom w:val="0"/>
          <w:divBdr>
            <w:top w:val="none" w:sz="0" w:space="0" w:color="auto"/>
            <w:left w:val="none" w:sz="0" w:space="0" w:color="auto"/>
            <w:bottom w:val="none" w:sz="0" w:space="0" w:color="auto"/>
            <w:right w:val="none" w:sz="0" w:space="0" w:color="auto"/>
          </w:divBdr>
        </w:div>
        <w:div w:id="1184831232">
          <w:marLeft w:val="0"/>
          <w:marRight w:val="0"/>
          <w:marTop w:val="0"/>
          <w:marBottom w:val="0"/>
          <w:divBdr>
            <w:top w:val="none" w:sz="0" w:space="0" w:color="auto"/>
            <w:left w:val="none" w:sz="0" w:space="0" w:color="auto"/>
            <w:bottom w:val="none" w:sz="0" w:space="0" w:color="auto"/>
            <w:right w:val="none" w:sz="0" w:space="0" w:color="auto"/>
          </w:divBdr>
        </w:div>
        <w:div w:id="1942060964">
          <w:marLeft w:val="0"/>
          <w:marRight w:val="0"/>
          <w:marTop w:val="0"/>
          <w:marBottom w:val="0"/>
          <w:divBdr>
            <w:top w:val="none" w:sz="0" w:space="0" w:color="auto"/>
            <w:left w:val="none" w:sz="0" w:space="0" w:color="auto"/>
            <w:bottom w:val="none" w:sz="0" w:space="0" w:color="auto"/>
            <w:right w:val="none" w:sz="0" w:space="0" w:color="auto"/>
          </w:divBdr>
        </w:div>
        <w:div w:id="1946766446">
          <w:marLeft w:val="0"/>
          <w:marRight w:val="0"/>
          <w:marTop w:val="0"/>
          <w:marBottom w:val="0"/>
          <w:divBdr>
            <w:top w:val="none" w:sz="0" w:space="0" w:color="auto"/>
            <w:left w:val="none" w:sz="0" w:space="0" w:color="auto"/>
            <w:bottom w:val="none" w:sz="0" w:space="0" w:color="auto"/>
            <w:right w:val="none" w:sz="0" w:space="0" w:color="auto"/>
          </w:divBdr>
        </w:div>
      </w:divsChild>
    </w:div>
    <w:div w:id="106129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viation.govt.nz/assets/rules/advisory-circulars/ac102-1.pdf" TargetMode="External"/><Relationship Id="rId18" Type="http://schemas.openxmlformats.org/officeDocument/2006/relationships/hyperlink" Target="https://www.nzqa.govt.nz/nqfdocs/units/pdf/19370.pdf" TargetMode="External"/><Relationship Id="rId26" Type="http://schemas.openxmlformats.org/officeDocument/2006/relationships/hyperlink" Target="https://www.nzqa.govt.nz/nqfdocs/units/pdf/28782.pdf" TargetMode="External"/><Relationship Id="rId3" Type="http://schemas.openxmlformats.org/officeDocument/2006/relationships/styles" Target="styles.xml"/><Relationship Id="rId21" Type="http://schemas.openxmlformats.org/officeDocument/2006/relationships/hyperlink" Target="https://www.nzqa.govt.nz/ncea/assessment/view-detailed.do?standardNumber=1937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viation.govt.nz/assets/rules/advisory-circulars/ac061-15.pdf" TargetMode="External"/><Relationship Id="rId17" Type="http://schemas.openxmlformats.org/officeDocument/2006/relationships/hyperlink" Target="https://www.nzqa.govt.nz/framework/search/results.do?type=UNIT&amp;query=19370" TargetMode="External"/><Relationship Id="rId25" Type="http://schemas.openxmlformats.org/officeDocument/2006/relationships/hyperlink" Target="https://www.nzqa.govt.nz/framework/search/results.do?type=UNIT&amp;query=2878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zqa.govt.nz/nzqf/search/viewQualification.do?selectedItemKey=4914" TargetMode="External"/><Relationship Id="rId20" Type="http://schemas.openxmlformats.org/officeDocument/2006/relationships/hyperlink" Target="https://www.nzqa.govt.nz/nqfdocs/units/pdf/19372.pdf" TargetMode="External"/><Relationship Id="rId29" Type="http://schemas.openxmlformats.org/officeDocument/2006/relationships/hyperlink" Target="https://fertqual.co.nz/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rtqual.co.nz/resources/" TargetMode="External"/><Relationship Id="rId24" Type="http://schemas.openxmlformats.org/officeDocument/2006/relationships/hyperlink" Target="https://www.nzqa.govt.nz/nqfdocs/units/pdf/19374.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roundrules.mpi.govt.nz/" TargetMode="External"/><Relationship Id="rId23" Type="http://schemas.openxmlformats.org/officeDocument/2006/relationships/hyperlink" Target="https://www.nzqa.govt.nz/framework/search/results.do?type=UNIT&amp;query=19374" TargetMode="External"/><Relationship Id="rId28" Type="http://schemas.openxmlformats.org/officeDocument/2006/relationships/hyperlink" Target="https://www.nzqa.govt.nz/nqfdocs/units/pdf/19048.pdf" TargetMode="External"/><Relationship Id="rId10" Type="http://schemas.openxmlformats.org/officeDocument/2006/relationships/hyperlink" Target="https://fertqual.co.nz/resources/" TargetMode="External"/><Relationship Id="rId19" Type="http://schemas.openxmlformats.org/officeDocument/2006/relationships/hyperlink" Target="https://www.nzqa.govt.nz/ncea/assessment/view-detailed.do?standardNumber=19372" TargetMode="External"/><Relationship Id="rId31" Type="http://schemas.openxmlformats.org/officeDocument/2006/relationships/hyperlink" Target="https://fertqual.co.nz/resources/" TargetMode="External"/><Relationship Id="rId4" Type="http://schemas.openxmlformats.org/officeDocument/2006/relationships/settings" Target="settings.xml"/><Relationship Id="rId9" Type="http://schemas.openxmlformats.org/officeDocument/2006/relationships/hyperlink" Target="https://fertqual.co.nz/resources/" TargetMode="External"/><Relationship Id="rId14" Type="http://schemas.openxmlformats.org/officeDocument/2006/relationships/hyperlink" Target="https://fertqual.co.nz/resources/" TargetMode="External"/><Relationship Id="rId22" Type="http://schemas.openxmlformats.org/officeDocument/2006/relationships/hyperlink" Target="https://www.nzqa.govt.nz/nqfdocs/units/pdf/19373.pdf" TargetMode="External"/><Relationship Id="rId27" Type="http://schemas.openxmlformats.org/officeDocument/2006/relationships/hyperlink" Target="https://www.nzqa.govt.nz/ncea/assessment/view-detailed.do?standardNumber=19048" TargetMode="External"/><Relationship Id="rId30" Type="http://schemas.openxmlformats.org/officeDocument/2006/relationships/hyperlink" Target="https://fertqual.co.nz/resource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9931-2CC8-4539-A043-BC3D79A9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6192</Words>
  <Characters>35297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Fietje</dc:creator>
  <cp:keywords/>
  <dc:description/>
  <cp:lastModifiedBy>Leo Fietje</cp:lastModifiedBy>
  <cp:revision>2</cp:revision>
  <dcterms:created xsi:type="dcterms:W3CDTF">2024-07-05T03:12:00Z</dcterms:created>
  <dcterms:modified xsi:type="dcterms:W3CDTF">2024-07-05T03:12:00Z</dcterms:modified>
</cp:coreProperties>
</file>